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250" w:type="dxa"/>
              <w:left w:w="200" w:type="dxa"/>
              <w:bottom w:w="12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6"/>
                <w:sz w:val="15"/>
                <w:u w:val="none"/>
              </w:rPr>
              <w:t>[  COVER IMAGE  —  1600 × 900 px minimum  ]</w:t>
            </w:r>
          </w:p>
          <w:p>
            <w:pPr>
              <w:keepNext w:val="0"/>
              <w:keepLines/>
              <w:pageBreakBefore w:val="0"/>
              <w:widowControl w:val="1"/>
              <w:spacing w:before="100" w:after="0"/>
              <w:jc w:val="center"/>
            </w:pPr>
            <w:r>
              <w:rPr>
                <w:rFonts w:ascii="Calibri" w:hAnsi="Calibri" w:cs="Calibri" w:eastAsia="Calibri"/>
                <w:b w:val="0"/>
                <w:i/>
                <w:color w:val="8493A8"/>
                <w:sz w:val="14"/>
                <w:u w:val="none"/>
              </w:rPr>
              <w:t>Cover image, 3:2. Neutral and architectural — not a property either party is currently selling.</w:t>
            </w:r>
          </w:p>
        </w:tc>
      </w:tr>
    </w:tbl>
    <w:p>
      <w:pPr>
        <w:keepNext w:val="0"/>
        <w:keepLines/>
        <w:pageBreakBefore w:val="0"/>
        <w:widowControl w:val="1"/>
        <w:spacing w:before="0" w:after="0" w:line="3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855"/>
      </w:tblGrid>
      <w:tr>
        <w:trPr>
          <w:cantSplit/>
        </w:trPr>
        <w:tc>
          <w:tcPr>
            <w:tcW w:type="dxa" w:w="3855"/>
            <w:tcBorders>
              <w:top w:val="dashed" w:sz="8" w:space="0" w:color="C2CDDC"/>
              <w:left w:val="dashed" w:sz="8" w:space="0" w:color="C2CDDC"/>
              <w:bottom w:val="dashed" w:sz="8" w:space="0" w:color="C2CDDC"/>
              <w:right w:val="dashed" w:sz="8" w:space="0" w:color="C2CDDC"/>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r>
    </w:tbl>
    <w:p>
      <w:pPr>
        <w:keepNext w:val="0"/>
        <w:keepLines/>
        <w:pageBreakBefore w:val="0"/>
        <w:widowControl w:val="1"/>
        <w:spacing w:before="0" w:after="0" w:line="280" w:lineRule="exact"/>
      </w:pPr>
      <w:r>
        <w:rPr>
          <w:sz w:val="2"/>
        </w:rPr>
      </w:r>
    </w:p>
    <w:p>
      <w:pPr>
        <w:keepNext w:val="0"/>
        <w:keepLines/>
        <w:pageBreakBefore w:val="0"/>
        <w:widowControl w:val="1"/>
        <w:spacing w:before="0" w:after="160"/>
        <w:jc w:val="center"/>
      </w:pPr>
      <w:r>
        <w:rPr>
          <w:rFonts w:ascii="Calibri" w:hAnsi="Calibri" w:cs="Calibri" w:eastAsia="Calibri"/>
          <w:b/>
          <w:i w:val="0"/>
          <w:caps w:val="1"/>
          <w:color w:val="12B0CE"/>
          <w:spacing w:val="92"/>
          <w:sz w:val="16"/>
          <w:u w:val="none"/>
        </w:rPr>
        <w:t>Partnership proposal</w:t>
      </w:r>
    </w:p>
    <w:p>
      <w:pPr>
        <w:keepNext/>
        <w:keepLines/>
        <w:pageBreakBefore w:val="0"/>
        <w:widowControl w:val="1"/>
        <w:spacing w:before="0" w:after="200" w:line="245" w:lineRule="auto"/>
        <w:jc w:val="center"/>
      </w:pPr>
      <w:r>
        <w:rPr>
          <w:rFonts w:ascii="Georgia" w:hAnsi="Georgia" w:cs="Georgia" w:eastAsia="Georgia"/>
          <w:b w:val="0"/>
          <w:i w:val="0"/>
          <w:color w:val="071527"/>
          <w:spacing w:val="12"/>
          <w:sz w:val="64"/>
          <w:u w:val="none"/>
        </w:rPr>
        <w:t>A Referral Partnership</w:t>
      </w:r>
    </w:p>
    <w:p>
      <w:pPr>
        <w:keepNext w:val="0"/>
        <w:keepLines/>
        <w:pageBreakBefore w:val="0"/>
        <w:widowControl w:val="1"/>
        <w:pBdr>
          <w:bottom w:val="single" w:sz="8" w:space="1" w:color="12B0CE"/>
        </w:pBdr>
        <w:spacing w:before="0" w:after="200" w:line="20" w:lineRule="exact"/>
      </w:pPr>
      <w:r>
        <w:rPr>
          <w:sz w:val="2"/>
        </w:rPr>
      </w:r>
    </w:p>
    <w:p>
      <w:pPr>
        <w:keepNext w:val="0"/>
        <w:keepLines/>
        <w:pageBreakBefore w:val="0"/>
        <w:widowControl w:val="1"/>
        <w:spacing w:before="0" w:after="0" w:line="360" w:lineRule="auto"/>
        <w:jc w:val="center"/>
      </w:pPr>
      <w:r>
        <w:rPr>
          <w:rFonts w:ascii="Calibri" w:hAnsi="Calibri" w:cs="Calibri" w:eastAsia="Calibri"/>
          <w:b w:val="0"/>
          <w:i w:val="0"/>
          <w:color w:val="4C5B73"/>
          <w:sz w:val="22"/>
          <w:u w:val="none"/>
        </w:rPr>
        <w:t>A proposal to work together on shared clients — what each party brings, how the commercial terms work, and how we would start.</w:t>
      </w:r>
    </w:p>
    <w:p>
      <w:pPr>
        <w:keepNext w:val="0"/>
        <w:keepLines/>
        <w:pageBreakBefore w:val="0"/>
        <w:widowControl w:val="1"/>
        <w:spacing w:before="0" w:after="0" w:line="5499" w:lineRule="exact"/>
      </w:pPr>
      <w:r>
        <w:rPr>
          <w:sz w:val="2"/>
        </w:rPr>
      </w:r>
    </w:p>
    <w:p>
      <w:pPr>
        <w:keepNext w:val="0"/>
        <w:keepLines/>
        <w:pageBreakBefore w:val="0"/>
        <w:widowControl w:val="1"/>
        <w:pBdr>
          <w:bottom w:val="single" w:sz="8" w:space="1" w:color="12B0CE"/>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71527"/>
          <w:spacing w:val="22"/>
          <w:sz w:val="14"/>
          <w:u w:val="none"/>
        </w:rPr>
        <w:t>APR-0418-01</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1.0</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31 July 2026</w:t>
      </w:r>
    </w:p>
    <w:p>
      <w:pPr>
        <w:keepNext w:val="0"/>
        <w:keepLines/>
        <w:pageBreakBefore w:val="1"/>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592"/>
        <w:gridCol w:w="907"/>
        <w:gridCol w:w="4592"/>
      </w:tblGrid>
      <w:tr>
        <w:trPr>
          <w:cantSplit/>
        </w:trPr>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c>
          <w:tcPr>
            <w:tcW w:type="dxa" w:w="907"/>
            <w:vAlign w:val="center"/>
          </w:tcPr>
          <w:p>
            <w:pPr>
              <w:keepNext w:val="0"/>
              <w:keepLines/>
              <w:pageBreakBefore w:val="0"/>
              <w:widowControl w:val="1"/>
              <w:spacing w:before="0" w:after="0"/>
              <w:jc w:val="center"/>
            </w:pPr>
            <w:r>
              <w:rPr>
                <w:rFonts w:ascii="Calibri" w:hAnsi="Calibri" w:cs="Calibri" w:eastAsia="Calibri"/>
                <w:b/>
                <w:i w:val="0"/>
                <w:color w:val="12B0CE"/>
                <w:sz w:val="23"/>
                <w:u w:val="none"/>
              </w:rPr>
              <w:t>+</w:t>
            </w:r>
          </w:p>
        </w:tc>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PARTNER LOGO  ]</w:t>
            </w:r>
          </w:p>
        </w:tc>
      </w:tr>
    </w:tbl>
    <w:p>
      <w:pPr>
        <w:keepNext w:val="0"/>
        <w:keepLines/>
        <w:pageBreakBefore w:val="0"/>
        <w:widowControl w:val="1"/>
        <w:spacing w:before="0" w:after="0" w:line="21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to</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{{org.name}}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Valid until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days from the date above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Non-binding — for discussion</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The opportunity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2B0CE"/>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The opportunity</w:t>
            </w:r>
          </w:p>
          <w:p>
            <w:pPr>
              <w:keepNext/>
              <w:keepLines/>
              <w:pageBreakBefore w:val="0"/>
              <w:widowControl w:val="1"/>
              <w:spacing w:before="0" w:after="120" w:line="293" w:lineRule="auto"/>
            </w:pPr>
            <w:r>
              <w:rPr>
                <w:rFonts w:ascii="Georgia" w:hAnsi="Georgia" w:cs="Georgia" w:eastAsia="Georgia"/>
                <w:b/>
                <w:i w:val="0"/>
                <w:color w:val="071527"/>
                <w:sz w:val="23"/>
                <w:u w:val="none"/>
              </w:rPr>
              <w:t>Both businesses are already serving the same client at different moments. Neither is introducing the other.</w:t>
            </w:r>
          </w:p>
          <w:p>
            <w:pPr>
              <w:keepNext w:val="0"/>
              <w:keepLines/>
              <w:pageBreakBefore w:val="0"/>
              <w:widowControl w:val="1"/>
              <w:spacing w:before="0" w:after="0" w:line="355" w:lineRule="auto"/>
            </w:pPr>
            <w:r>
              <w:rPr>
                <w:rFonts w:ascii="Calibri" w:hAnsi="Calibri" w:cs="Calibri" w:eastAsia="Calibri"/>
                <w:b w:val="0"/>
                <w:i w:val="0"/>
                <w:color w:val="10192A"/>
                <w:sz w:val="19"/>
                <w:u w:val="none"/>
              </w:rPr>
              <w:t>Your clients reach you when they are ready to borrow. Ours reach us when they are ready to buy. In practice these are the same people six weeks apart, and at the moment each of us hands them to whoever they happen to find next.</w:t>
            </w:r>
          </w:p>
          <w:p>
            <w:pPr>
              <w:keepNext w:val="0"/>
              <w:keepLines/>
              <w:pageBreakBefore w:val="0"/>
              <w:widowControl w:val="1"/>
              <w:spacing w:before="100" w:after="0" w:line="355" w:lineRule="auto"/>
            </w:pPr>
            <w:r>
              <w:rPr>
                <w:rFonts w:ascii="Calibri" w:hAnsi="Calibri" w:cs="Calibri" w:eastAsia="Calibri"/>
                <w:b w:val="0"/>
                <w:i w:val="0"/>
                <w:color w:val="10192A"/>
                <w:sz w:val="19"/>
                <w:u w:val="none"/>
              </w:rPr>
              <w:t>Of the 214 acquisitions we completed in the last twelve months, 186 involved finance and 71 of those clients told us at intake that they had not yet spoken to a broker. That is a meaningful volume of warm, qualified introductions currently going nowhere in particular.</w:t>
            </w:r>
          </w:p>
          <w:p>
            <w:pPr>
              <w:keepNext w:val="0"/>
              <w:keepLines/>
              <w:pageBreakBefore w:val="0"/>
              <w:widowControl w:val="1"/>
              <w:spacing w:before="100" w:after="0" w:line="355" w:lineRule="auto"/>
            </w:pPr>
            <w:r>
              <w:rPr>
                <w:rFonts w:ascii="Calibri" w:hAnsi="Calibri" w:cs="Calibri" w:eastAsia="Calibri"/>
                <w:b w:val="0"/>
                <w:i w:val="0"/>
                <w:color w:val="10192A"/>
                <w:sz w:val="19"/>
                <w:u w:val="none"/>
              </w:rPr>
              <w:t>The proposal is narrow on purpose. It is a two-way referral relationship with written terms, clear service boundaries and a single point of contact on each side — not a joint venture, not a shared entity, and not an exclusive arrangement.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What this means</w:t>
            </w:r>
          </w:p>
          <w:p>
            <w:pPr>
              <w:keepNext w:val="0"/>
              <w:keepLines/>
              <w:pageBreakBefore w:val="0"/>
              <w:widowControl w:val="1"/>
              <w:spacing w:before="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An estimated 70+ warm introductions each way per year.</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Two-way, non-exclusive, terminable on 30 days' notice.</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Written service boundaries so neither party advises outside its licence.</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First referral inside eight weeks of agreement.</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237" w:type="dxa"/>
              <w:left w:w="277" w:type="dxa"/>
              <w:bottom w:w="237" w:type="dxa"/>
              <w:right w:w="277" w:type="dxa"/>
            </w:tcMar>
          </w:tcPr>
          <w:p>
            <w:pPr>
              <w:keepNext/>
              <w:keepLines/>
              <w:pageBreakBefore w:val="0"/>
              <w:widowControl w:val="1"/>
              <w:spacing w:before="0" w:after="100"/>
            </w:pPr>
            <w:r>
              <w:rPr>
                <w:rFonts w:ascii="Calibri" w:hAnsi="Calibri" w:cs="Calibri" w:eastAsia="Calibri"/>
                <w:b/>
                <w:i w:val="0"/>
                <w:caps w:val="1"/>
                <w:color w:val="12B0CE"/>
                <w:spacing w:val="52"/>
                <w:sz w:val="15"/>
                <w:u w:val="none"/>
              </w:rPr>
              <w:t>PROPOSED STRUCTURE</w:t>
            </w:r>
          </w:p>
          <w:p>
            <w:pPr>
              <w:keepNext w:val="0"/>
              <w:keepLines/>
              <w:pageBreakBefore w:val="0"/>
              <w:widowControl w:val="1"/>
              <w:spacing w:before="0" w:after="120" w:line="298" w:lineRule="auto"/>
            </w:pPr>
            <w:r>
              <w:rPr>
                <w:rFonts w:ascii="Georgia" w:hAnsi="Georgia" w:cs="Georgia" w:eastAsia="Georgia"/>
                <w:b/>
                <w:i w:val="0"/>
                <w:color w:val="071527"/>
                <w:sz w:val="22"/>
                <w:u w:val="none"/>
              </w:rPr>
              <w:t>A two-way, non-exclusive referral relationship under a written agreement, with a nominated relationship owner on each side, agreed service boundaries, and a quarterly review of volume, conversion and client feedback.</w:t>
            </w:r>
          </w:p>
          <w:p>
            <w:pPr>
              <w:keepNext w:val="0"/>
              <w:keepLines/>
              <w:pageBreakBefore w:val="0"/>
              <w:widowControl w:val="1"/>
              <w:spacing w:before="0" w:after="0" w:line="355" w:lineRule="auto"/>
            </w:pPr>
            <w:r>
              <w:rPr>
                <w:rFonts w:ascii="Calibri" w:hAnsi="Calibri" w:cs="Calibri" w:eastAsia="Calibri"/>
                <w:b w:val="0"/>
                <w:i w:val="0"/>
                <w:color w:val="10192A"/>
                <w:sz w:val="17"/>
                <w:u w:val="none"/>
              </w:rPr>
              <w:t>Non-exclusive, because exclusivity is worth less than it costs at this stage: neither party can currently absorb the whole of the other's volume, and an exclusive arrangement would leave clients waiting.</w:t>
            </w:r>
          </w:p>
          <w:p>
            <w:pPr>
              <w:keepNext w:val="0"/>
              <w:keepLines/>
              <w:pageBreakBefore w:val="0"/>
              <w:widowControl w:val="1"/>
              <w:spacing w:before="80" w:after="0" w:line="355" w:lineRule="auto"/>
            </w:pPr>
            <w:r>
              <w:rPr>
                <w:rFonts w:ascii="Calibri" w:hAnsi="Calibri" w:cs="Calibri" w:eastAsia="Calibri"/>
                <w:b w:val="0"/>
                <w:i w:val="0"/>
                <w:color w:val="10192A"/>
                <w:sz w:val="17"/>
                <w:u w:val="none"/>
              </w:rPr>
              <w:t>Written rather than informal, because the moment a referral relationship carries a fee it carries disclosure obligations, and both parties are better served by having those written down before the first introduction than after the first complaint.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p>
            <w:pPr>
              <w:keepNext w:val="0"/>
              <w:keepLines/>
              <w:pageBreakBefore w:val="0"/>
              <w:widowControl w:val="1"/>
              <w:tabs>
                <w:tab w:val="left" w:pos="320"/>
              </w:tabs>
              <w:spacing w:before="0" w:after="0" w:line="355"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Nominate a relationship owner on each side.</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Agree the written referral terms and disclosure wording.</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Set the quarterly review date for the first twelve months.</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What each party brings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Contribution and benefit, by party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benefit, by party"/>
        <w:tblDescription w:val="Compares: Our business, Your business"/>
      </w:tblPr>
      <w:tblGrid>
        <w:gridCol w:w="2624"/>
        <w:gridCol w:w="3734"/>
        <w:gridCol w:w="3734"/>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pPr>
          </w:p>
        </w:tc>
        <w:tc>
          <w:tcPr>
            <w:tcW w:type="dxa" w:w="373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Our business</w:t>
            </w:r>
          </w:p>
        </w:tc>
        <w:tc>
          <w:tcPr>
            <w:tcW w:type="dxa" w:w="3734"/>
            <w:tcBorders>
              <w:top w:val="nil"/>
              <w:left w:val="nil"/>
              <w:bottom w:val="single" w:sz="8" w:space="0" w:color="12B0CE"/>
              <w:right w:val="nil"/>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Your business</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Core service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Buyer advocacy and acquisition</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Mortgage and lending advice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Client moment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buy; brief not yet defined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borrow; property not yet identified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client volume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214 acquisitions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{{partner.volume}}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we introduce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finance structured before they bid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a property found and negotiated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Estimated introductions p.a.</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70 – 90</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{{partner.estimate}}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the client gains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Finance in place before the first offer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 brief, a shortlist and a negotiator</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Licensing</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Licensed real estate agent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Australian Credit Licence / credit representative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Relationship owner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{{author.name}}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{{partner.contact.name}}</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What this is not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Being explicit about the boundaries at proposal stage saves a difficult conversation later.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exclusive — either party may work with others.</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a joint venture; no shared entity, staff or liability is created.</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a commitment to volume; neither party guarantees a number.</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a licence to advise outside your own — each party stays in its lane.</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Client journey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How a shared client moves between the parties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Introduce</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referring party asks the client's consent, explains the relationship and the fee, and records the consent in writing.</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Hand over</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A single-page handover with the client's consent, contact details and what they have been told, sent to the named relationship owner.</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Contact</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receiving party contacts the client within one business day and confirms receipt to the referring party.</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4</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Advise</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Each party advises only within its own licence. Neither comments on the other's recommendation.</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5</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Report back</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referring party is told the outcome — proceeded, declined or lapsed — within five business days of it being known.</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6</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Review</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Volume, conversion and client feedback reviewed quarterly against the agreed measures.</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4C5B73"/>
                <w:spacing w:val="52"/>
                <w:sz w:val="15"/>
                <w:u w:val="none"/>
              </w:rPr>
              <w:t>Client consent comes first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No client detail passes between the parties until the client has been told who they are being introduced to, that a fee is payable, and how much. Consent is recorded in writing and is retained by the referring party.</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Commercial terms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Proposed commercial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commercial terms"/>
        <w:tblDescription w:val="Columns: Item, Basis, Amount, Trigger, Payable"/>
      </w:tblPr>
      <w:tblGrid>
        <w:gridCol w:w="2154"/>
        <w:gridCol w:w="2494"/>
        <w:gridCol w:w="1361"/>
        <w:gridCol w:w="2154"/>
        <w:gridCol w:w="192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49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36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Trigger</w:t>
            </w:r>
          </w:p>
        </w:tc>
        <w:tc>
          <w:tcPr>
            <w:tcW w:type="dxa" w:w="192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Finance referral fee</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Percentage of upfront commission</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settles</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14 days of commission receipt</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 referral fee</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Percentage of engagement fee</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10%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Client signs a buyer's agency agreement</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14 days of fee receipt</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Trail share</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Percentage of trail commission</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Nil</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applicable in year one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Marketing contribution</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Shared, by agreement</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50 / 50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Joint activity agreed in writing</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 advance of the activity</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Disbursements</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At cost, pre-approved above $250</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val="0"/>
                <w:color w:val="10192A"/>
                <w:sz w:val="17"/>
                <w:u w:val="none"/>
              </w:rPr>
              <w:t>At cost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As incurred</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Monthly in arrears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All amounts are exclusive of GST. Fees are disclosed to the client before the introduction is made and are payable only where the client proceeds. No fee is payable on a referral that does not convert.</w:t>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Illustrative value, first full year — referrals are per annum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llustrative value, first full year — referrals are per annum"/>
        <w:tblDescription w:val="Columns: Scenario, Referrals, Conversion, Avg fee, To you"/>
      </w:tblPr>
      <w:tblGrid>
        <w:gridCol w:w="2154"/>
        <w:gridCol w:w="1814"/>
        <w:gridCol w:w="1701"/>
        <w:gridCol w:w="1814"/>
        <w:gridCol w:w="260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Scenario</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Referrals</w:t>
            </w:r>
          </w:p>
        </w:tc>
        <w:tc>
          <w:tcPr>
            <w:tcW w:type="dxa" w:w="17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Conversion</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fee</w:t>
            </w:r>
          </w:p>
        </w:tc>
        <w:tc>
          <w:tcPr>
            <w:tcW w:type="dxa" w:w="260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 you</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Conservative</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50</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30%</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$2,100</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$31,500</w:t>
            </w:r>
          </w:p>
        </w:tc>
      </w:tr>
      <w:tr>
        <w:trPr>
          <w:cantSplit/>
          <w:trHeight w:val="397" w:hRule="atLeast"/>
        </w:trPr>
        <w:tc>
          <w:tcPr>
            <w:tcW w:type="dxa" w:w="215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Base</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75</w:t>
            </w:r>
          </w:p>
        </w:tc>
        <w:tc>
          <w:tcPr>
            <w:tcW w:type="dxa" w:w="1701"/>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40%</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$2,100</w:t>
            </w:r>
          </w:p>
        </w:tc>
        <w:tc>
          <w:tcPr>
            <w:tcW w:type="dxa" w:w="2608"/>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$63,000</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Strong</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val="0"/>
                <w:color w:val="10192A"/>
                <w:sz w:val="17"/>
                <w:u w:val="none"/>
              </w:rPr>
              <w:t>95</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val="0"/>
                <w:color w:val="10192A"/>
                <w:sz w:val="17"/>
                <w:u w:val="none"/>
              </w:rPr>
              <w:t>50%</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val="0"/>
                <w:color w:val="10192A"/>
                <w:sz w:val="17"/>
                <w:u w:val="none"/>
              </w:rPr>
              <w:t>$2,300</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val="0"/>
                <w:color w:val="10192A"/>
                <w:sz w:val="17"/>
                <w:u w:val="none"/>
              </w:rPr>
              <w:t>$109,250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Illustrative only. Based on our own referral volumes and conversion rates over the last twelve months; your results will differ.</w:t>
      </w:r>
    </w:p>
    <w:p>
      <w:pPr>
        <w:keepNext/>
        <w:keepLines/>
        <w:pageBreakBefore w:val="0"/>
        <w:widowControl w:val="1"/>
        <w:spacing w:before="0" w:after="60"/>
      </w:pPr>
      <w:r>
        <w:rPr>
          <w:rFonts w:ascii="Georgia" w:hAnsi="Georgia" w:cs="Georgia" w:eastAsia="Georgia"/>
          <w:b w:val="0"/>
          <w:i w:val="0"/>
          <w:color w:val="071527"/>
          <w:spacing w:val="12"/>
          <w:sz w:val="34"/>
          <w:u w:val="none"/>
        </w:rPr>
        <w:t>Governance &amp; boundaries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How the relationship is governed</w:t>
            </w:r>
          </w:p>
          <w:p>
            <w:pPr>
              <w:keepNext w:val="0"/>
              <w:keepLines/>
              <w:pageBreakBefore w:val="0"/>
              <w:widowControl w:val="1"/>
              <w:spacing w:before="0" w:after="0" w:line="355" w:lineRule="auto"/>
            </w:pPr>
            <w:r>
              <w:rPr>
                <w:rFonts w:ascii="Calibri" w:hAnsi="Calibri" w:cs="Calibri" w:eastAsia="Calibri"/>
                <w:b w:val="0"/>
                <w:i w:val="0"/>
                <w:color w:val="10192A"/>
                <w:sz w:val="17"/>
                <w:u w:val="none"/>
              </w:rPr>
              <w:t>Both parties remain separately licensed, separately insured and separately responsible for their own advice. Nothing in the proposed arrangement makes either party an agent, employee or representative of the other.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Each party holds and maintains its own licence and professional indemnity cover, and provides evidence annually.</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Neither party advises on a matter outside its own licence, and neither endorses the other's recommendation to a client.</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Referral fees are disclosed to the client in writing before the introduction, in the form set out in the referral agreement.</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Client data passes only with written consent, only for the purpose of the referral, and is handled under each party's own privacy policy.</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Either party may terminate on 30 days' written notice. Fees already triggered survive termination.</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Complaints are handled by the party whose advice is the subject of the complaint, and the other party is notified within two business days.</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you</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{{partner.contact.name}}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cadence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Quarterly, first year</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Notice period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days, either party</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Measures reviewed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Volume, conversion, time to contact, client feedback</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Agreement form</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Written referral agreement, executed by both parties</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Activation plan</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From agreement to first referral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1</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Agreement in principle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Terms confirmed or amended; relationship owners nominated</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2</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Referral agreement executed</w:t>
            </w:r>
          </w:p>
          <w:p>
            <w:pPr>
              <w:keepNext w:val="0"/>
              <w:keepLines/>
              <w:pageBreakBefore w:val="0"/>
              <w:widowControl w:val="1"/>
              <w:spacing w:before="0" w:after="0" w:line="293" w:lineRule="auto"/>
            </w:pPr>
            <w:r>
              <w:rPr>
                <w:rFonts w:ascii="Calibri" w:hAnsi="Calibri" w:cs="Calibri" w:eastAsia="Calibri"/>
                <w:b w:val="0"/>
                <w:i w:val="0"/>
                <w:color w:val="4C5B73"/>
                <w:sz w:val="17"/>
                <w:u w:val="none"/>
              </w:rPr>
              <w:t>Written terms, disclosure wording and consent form signed</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3</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Team briefing</w:t>
            </w:r>
          </w:p>
          <w:p>
            <w:pPr>
              <w:keepNext w:val="0"/>
              <w:keepLines/>
              <w:pageBreakBefore w:val="0"/>
              <w:widowControl w:val="1"/>
              <w:spacing w:before="0" w:after="0" w:line="293" w:lineRule="auto"/>
            </w:pPr>
            <w:r>
              <w:rPr>
                <w:rFonts w:ascii="Calibri" w:hAnsi="Calibri" w:cs="Calibri" w:eastAsia="Calibri"/>
                <w:b w:val="0"/>
                <w:i w:val="0"/>
                <w:color w:val="4C5B73"/>
                <w:sz w:val="17"/>
                <w:u w:val="none"/>
              </w:rPr>
              <w:t>One session each side: what to refer, when, and what to say</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4</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Process live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Handover form, consent record and contact SLA in place</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5 – 8</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First referrals</w:t>
            </w:r>
          </w:p>
          <w:p>
            <w:pPr>
              <w:keepNext w:val="0"/>
              <w:keepLines/>
              <w:pageBreakBefore w:val="0"/>
              <w:widowControl w:val="1"/>
              <w:spacing w:before="0" w:after="0" w:line="293" w:lineRule="auto"/>
            </w:pPr>
            <w:r>
              <w:rPr>
                <w:rFonts w:ascii="Calibri" w:hAnsi="Calibri" w:cs="Calibri" w:eastAsia="Calibri"/>
                <w:b w:val="0"/>
                <w:i w:val="0"/>
                <w:color w:val="4C5B73"/>
                <w:sz w:val="17"/>
                <w:u w:val="none"/>
              </w:rPr>
              <w:t>Both directions; each one reviewed individually</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12</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First quarterly review</w:t>
            </w:r>
          </w:p>
          <w:p>
            <w:pPr>
              <w:keepNext w:val="0"/>
              <w:keepLines/>
              <w:pageBreakBefore w:val="0"/>
              <w:widowControl w:val="1"/>
              <w:spacing w:before="0" w:after="0" w:line="293" w:lineRule="auto"/>
            </w:pPr>
            <w:r>
              <w:rPr>
                <w:rFonts w:ascii="Calibri" w:hAnsi="Calibri" w:cs="Calibri" w:eastAsia="Calibri"/>
                <w:b w:val="0"/>
                <w:i w:val="0"/>
                <w:color w:val="4C5B73"/>
                <w:sz w:val="17"/>
                <w:u w:val="none"/>
              </w:rPr>
              <w:t>Volume, conversion, time to contact and client feedback</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Confirm whether the proposed structure works in principle, or tell us what you would change.</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Nominate your relationship owner.</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the draft referral agreement and disclosure wording.</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Confirm your estimated referral volume so the illustration can be re-run.</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Book the two team briefing sessions.</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Response requested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{{proposal.responseBy}}</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Direct line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{{author.phone}}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Email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{{author.email}}</w:t>
            </w:r>
          </w:p>
        </w:tc>
      </w:tr>
    </w:tbl>
    <w:p>
      <w:pPr>
        <w:keepNext/>
        <w:keepLines/>
        <w:pageBreakBefore w:val="1"/>
        <w:widowControl w:val="1"/>
        <w:spacing w:before="0" w:after="60"/>
      </w:pPr>
      <w:r>
        <w:rPr>
          <w:rFonts w:ascii="Georgia" w:hAnsi="Georgia" w:cs="Georgia" w:eastAsia="Georgia"/>
          <w:b w:val="0"/>
          <w:i w:val="0"/>
          <w:color w:val="071527"/>
          <w:spacing w:val="12"/>
          <w:sz w:val="34"/>
          <w:u w:val="none"/>
        </w:rPr>
        <w:t>Terms</w:t>
      </w:r>
    </w:p>
    <w:p>
      <w:pPr>
        <w:keepNext/>
        <w:keepLines/>
        <w:pageBreakBefore w:val="0"/>
        <w:widowControl w:val="1"/>
        <w:spacing w:before="0" w:after="100"/>
      </w:pPr>
      <w:r>
        <w:rPr>
          <w:rFonts w:ascii="Calibri" w:hAnsi="Calibri" w:cs="Calibri" w:eastAsia="Calibri"/>
          <w:b/>
          <w:i w:val="0"/>
          <w:caps w:val="1"/>
          <w:color w:val="4C5B73"/>
          <w:spacing w:val="52"/>
          <w:sz w:val="15"/>
          <w:u w:val="none"/>
        </w:rPr>
        <w:t>Status of this proposal, validity and confidentiality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Disclaimer</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Privacy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Terms of use</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Status of this proposal</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is a proposal for discussion. It is not an offer capable of acceptance and does not create any binding obligation on either party. Any arrangement between the parties takes effect only under a written referral agreement executed by both.</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Validity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The terms set out in this proposal are open for 30 days from the date shown on the cover. Illustrative figures are based on the proposing party's own historical volumes and conversion rates and are not a forecast, a projection or a guarantee of any result.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Confidentiality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proposal, including the commercial terms, is provided in confidence for the named recipient's evaluation. It may be shared within the recipient's organisation for that purpose and may not be disclosed further without written consent.</w:t>
      </w:r>
    </w:p>
    <w:p>
      <w:pPr>
        <w:keepNext w:val="0"/>
        <w:keepLines/>
        <w:pageBreakBefore w:val="0"/>
        <w:widowControl w:val="1"/>
        <w:spacing w:before="0" w:after="0" w:line="100" w:lineRule="exact"/>
      </w:pPr>
      <w:r>
        <w:rPr>
          <w:sz w:val="2"/>
        </w:rPr>
      </w:r>
    </w:p>
    <w:p>
      <w:pPr>
        <w:keepNext w:val="0"/>
        <w:keepLines/>
        <w:pageBreakBefore w:val="1"/>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71527"/>
              <w:left w:val="single" w:sz="4" w:space="0" w:color="071527"/>
              <w:bottom w:val="single" w:sz="4" w:space="0" w:color="071527"/>
              <w:right w:val="single" w:sz="4" w:space="0" w:color="071527"/>
            </w:tcBorders>
            <w:shd w:val="clear" w:color="auto" w:fill="071527"/>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6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Georgia" w:hAnsi="Georgia" w:cs="Georgia" w:eastAsia="Georgia"/>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6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5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52"/>
              <w:sz w:val="14"/>
              <w:u w:val="none"/>
            </w:rPr>
            <w:t>Partnership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55"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Proposal</dc:title>
  <dc:subject>A proposal to another business: the opportunity, the proposed structure, the commercial terms, and the activation plan.</dc:subject>
  <dc:creator>Aurixa Systems</dc:creator>
  <cp:keywords>Partnership, Channel proposal, Referral partnership,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