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Pre-exchange investigation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Property Due-Diligence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12 Example Street, Northbridge NSW 2063 — title, planning, building, environmental and contractual findings against a numbered register.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INVESTIGATED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EVIDENCED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AUDITABLE</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spacing w:before="0" w:after="60"/>
      </w:pPr>
      <w:r>
        <w:rPr>
          <w:rFonts w:ascii="Calibri" w:hAnsi="Calibri" w:cs="Calibri" w:eastAsia="Calibri"/>
          <w:b w:val="0"/>
          <w:i w:val="0"/>
          <w:color w:val="0C2340"/>
          <w:sz w:val="34"/>
          <w:u w:val="none"/>
        </w:rPr>
        <w:t>Contents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    </w:t>
      </w:r>
      <w:r>
        <w:rPr>
          <w:rFonts w:ascii="Calibri" w:hAnsi="Calibri" w:cs="Calibri" w:eastAsia="Calibri"/>
          <w:b w:val="0"/>
          <w:i w:val="0"/>
          <w:color w:val="10192A"/>
          <w:sz w:val="19"/>
          <w:u w:val="none"/>
        </w:rPr>
        <w:t>Scope &amp; limitations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    </w:t>
      </w:r>
      <w:r>
        <w:rPr>
          <w:rFonts w:ascii="Calibri" w:hAnsi="Calibri" w:cs="Calibri" w:eastAsia="Calibri"/>
          <w:b w:val="0"/>
          <w:i w:val="0"/>
          <w:color w:val="10192A"/>
          <w:sz w:val="19"/>
          <w:u w:val="none"/>
        </w:rPr>
        <w:t>Summary of findings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1    </w:t>
      </w:r>
      <w:r>
        <w:rPr>
          <w:rFonts w:ascii="Calibri" w:hAnsi="Calibri" w:cs="Calibri" w:eastAsia="Calibri"/>
          <w:b w:val="0"/>
          <w:i w:val="0"/>
          <w:color w:val="10192A"/>
          <w:sz w:val="19"/>
          <w:u w:val="none"/>
        </w:rPr>
        <w:t>Findings register</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2    </w:t>
      </w:r>
      <w:r>
        <w:rPr>
          <w:rFonts w:ascii="Calibri" w:hAnsi="Calibri" w:cs="Calibri" w:eastAsia="Calibri"/>
          <w:b w:val="0"/>
          <w:i w:val="0"/>
          <w:color w:val="10192A"/>
          <w:sz w:val="19"/>
          <w:u w:val="none"/>
        </w:rPr>
        <w:t>Title &amp; ownership</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3    </w:t>
      </w:r>
      <w:r>
        <w:rPr>
          <w:rFonts w:ascii="Calibri" w:hAnsi="Calibri" w:cs="Calibri" w:eastAsia="Calibri"/>
          <w:b w:val="0"/>
          <w:i w:val="0"/>
          <w:color w:val="10192A"/>
          <w:sz w:val="19"/>
          <w:u w:val="none"/>
        </w:rPr>
        <w:t>Planning &amp; zoning</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4    </w:t>
      </w:r>
      <w:r>
        <w:rPr>
          <w:rFonts w:ascii="Calibri" w:hAnsi="Calibri" w:cs="Calibri" w:eastAsia="Calibri"/>
          <w:b w:val="0"/>
          <w:i w:val="0"/>
          <w:color w:val="10192A"/>
          <w:sz w:val="19"/>
          <w:u w:val="none"/>
        </w:rPr>
        <w:t>Building &amp; pest</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5    </w:t>
      </w:r>
      <w:r>
        <w:rPr>
          <w:rFonts w:ascii="Calibri" w:hAnsi="Calibri" w:cs="Calibri" w:eastAsia="Calibri"/>
          <w:b w:val="0"/>
          <w:i w:val="0"/>
          <w:color w:val="10192A"/>
          <w:sz w:val="19"/>
          <w:u w:val="none"/>
        </w:rPr>
        <w:t>Environmental &amp; hazard</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6    </w:t>
      </w:r>
      <w:r>
        <w:rPr>
          <w:rFonts w:ascii="Calibri" w:hAnsi="Calibri" w:cs="Calibri" w:eastAsia="Calibri"/>
          <w:b w:val="0"/>
          <w:i w:val="0"/>
          <w:color w:val="10192A"/>
          <w:sz w:val="19"/>
          <w:u w:val="none"/>
        </w:rPr>
        <w:t>Strata / body corporate</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7    </w:t>
      </w:r>
      <w:r>
        <w:rPr>
          <w:rFonts w:ascii="Calibri" w:hAnsi="Calibri" w:cs="Calibri" w:eastAsia="Calibri"/>
          <w:b w:val="0"/>
          <w:i w:val="0"/>
          <w:color w:val="10192A"/>
          <w:sz w:val="19"/>
          <w:u w:val="none"/>
        </w:rPr>
        <w:t>Outstanding items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8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9    </w:t>
      </w:r>
      <w:r>
        <w:rPr>
          <w:rFonts w:ascii="Calibri" w:hAnsi="Calibri" w:cs="Calibri" w:eastAsia="Calibri"/>
          <w:b w:val="0"/>
          <w:i w:val="0"/>
          <w:color w:val="10192A"/>
          <w:sz w:val="19"/>
          <w:u w:val="none"/>
        </w:rPr>
        <w:t>Conclusion</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A    </w:t>
      </w:r>
      <w:r>
        <w:rPr>
          <w:rFonts w:ascii="Calibri" w:hAnsi="Calibri" w:cs="Calibri" w:eastAsia="Calibri"/>
          <w:b w:val="0"/>
          <w:i w:val="0"/>
          <w:color w:val="10192A"/>
          <w:sz w:val="19"/>
          <w:u w:val="none"/>
        </w:rPr>
        <w:t>Evidence index</w:t>
      </w:r>
    </w:p>
    <w:p>
      <w:pPr>
        <w:keepNext/>
        <w:keepLines/>
        <w:pageBreakBefore w:val="1"/>
        <w:widowControl w:val="1"/>
        <w:spacing w:before="0" w:after="60"/>
      </w:pPr>
      <w:r>
        <w:rPr>
          <w:rFonts w:ascii="Calibri" w:hAnsi="Calibri" w:cs="Calibri" w:eastAsia="Calibri"/>
          <w:b w:val="0"/>
          <w:i w:val="0"/>
          <w:color w:val="0C2340"/>
          <w:sz w:val="34"/>
          <w:u w:val="none"/>
        </w:rPr>
        <w:t>Scope &amp; limitations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Read this first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Scope &amp; limitations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report records the results of the investigations listed below, carried out on the dates stated. It is not a valuation, a structural engineering assessment, a survey, or legal advice on the contract. Matters outside the listed scope have not been investigated and no opinion is expressed on them.</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Investigation period: 18 July 2026 to 29 July 2026.</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Contract of sale reviewed: version dated 16 July 2026.</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Physical inspection: 22 July 2026, by a licensed building inspector.</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Not investigated: structural engineering, survey, pool compliance.</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Summary of findings</w:t>
            </w:r>
          </w:p>
          <w:p>
            <w:pPr>
              <w:keepNext/>
              <w:keepLines/>
              <w:pageBreakBefore w:val="0"/>
              <w:widowControl w:val="1"/>
              <w:spacing w:before="0" w:after="120" w:line="293" w:lineRule="auto"/>
            </w:pPr>
            <w:r>
              <w:rPr>
                <w:rFonts w:ascii="Calibri" w:hAnsi="Calibri" w:cs="Calibri" w:eastAsia="Calibri"/>
                <w:b/>
                <w:i w:val="0"/>
                <w:color w:val="0C2340"/>
                <w:sz w:val="23"/>
                <w:u w:val="none"/>
              </w:rPr>
              <w:t>Two findings condition exchange; neither prevents it. Three items remain outstanding.</w:t>
            </w:r>
          </w:p>
          <w:p>
            <w:pPr>
              <w:keepNext w:val="0"/>
              <w:keepLines/>
              <w:pageBreakBefore w:val="0"/>
              <w:widowControl w:val="1"/>
              <w:spacing w:before="0" w:after="0" w:line="312" w:lineRule="auto"/>
            </w:pPr>
            <w:r>
              <w:rPr>
                <w:rFonts w:ascii="Calibri" w:hAnsi="Calibri" w:cs="Calibri" w:eastAsia="Calibri"/>
                <w:b w:val="0"/>
                <w:i w:val="0"/>
                <w:color w:val="10192A"/>
                <w:sz w:val="19"/>
                <w:u w:val="none"/>
              </w:rPr>
              <w:t>Twenty-eight due-diligence items were investigated. Twenty-three returned clear, two returned findings that should condition exchange, and three remain outstanding pending third-party responses.</w:t>
            </w:r>
          </w:p>
          <w:p>
            <w:pPr>
              <w:keepNext w:val="0"/>
              <w:keepLines/>
              <w:pageBreakBefore w:val="0"/>
              <w:widowControl w:val="1"/>
              <w:spacing w:before="100" w:after="0" w:line="312" w:lineRule="auto"/>
            </w:pPr>
            <w:r>
              <w:rPr>
                <w:rFonts w:ascii="Calibri" w:hAnsi="Calibri" w:cs="Calibri" w:eastAsia="Calibri"/>
                <w:b w:val="0"/>
                <w:i w:val="0"/>
                <w:color w:val="10192A"/>
                <w:sz w:val="19"/>
                <w:u w:val="none"/>
              </w:rPr>
              <w:t>The two conditioning findings are rising damp to the rear wall, quantified at $6,500, and a positive covenant requiring maintenance of a shared boundary retaining wall. Both are addressable by price adjustment or by a special condition.</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ITEMS INVESTIGATED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CLEAR</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FINDINGS</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OUTSTANDING</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 scope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23</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No action</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Condition exchange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Awaiting response</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Findings register</w:t>
      </w:r>
    </w:p>
    <w:p>
      <w:pPr>
        <w:keepNext/>
        <w:keepLines/>
        <w:pageBreakBefore w:val="0"/>
        <w:widowControl w:val="1"/>
        <w:spacing w:before="0" w:after="100"/>
      </w:pPr>
      <w:r>
        <w:rPr>
          <w:rFonts w:ascii="Calibri" w:hAnsi="Calibri" w:cs="Calibri" w:eastAsia="Calibri"/>
          <w:b/>
          <w:i w:val="0"/>
          <w:caps w:val="1"/>
          <w:color w:val="4C5B73"/>
          <w:spacing w:val="26"/>
          <w:sz w:val="15"/>
          <w:u w:val="none"/>
        </w:rPr>
        <w:t>Every item investigated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Due-diligence register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ue-diligence register"/>
        <w:tblDescription w:val="Columns: Ref, Item, Finding, Evidence, Reviewer, Status"/>
      </w:tblPr>
      <w:tblGrid>
        <w:gridCol w:w="807"/>
        <w:gridCol w:w="2119"/>
        <w:gridCol w:w="2826"/>
        <w:gridCol w:w="1917"/>
        <w:gridCol w:w="1110"/>
        <w:gridCol w:w="1312"/>
      </w:tblGrid>
      <w:tr>
        <w:trPr>
          <w:cantSplit/>
          <w:tblHeader/>
        </w:trPr>
        <w:tc>
          <w:tcPr>
            <w:tcW w:type="dxa" w:w="80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11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82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Finding</w:t>
            </w:r>
          </w:p>
        </w:tc>
        <w:tc>
          <w:tcPr>
            <w:tcW w:type="dxa" w:w="191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110"/>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Reviewer</w:t>
            </w:r>
          </w:p>
        </w:tc>
        <w:tc>
          <w:tcPr>
            <w:tcW w:type="dxa" w:w="131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Fee simple, no caveats</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Encumbrances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Positive covenant — shared retaining wall</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Easements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easement, rear 1.5m</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diagram 29/07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Zoning</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R2 Low Density Residential</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Overlays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 applicable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1.6</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 structure</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Sound, no movement</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Inspection 22/07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BI</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1.7</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 moisture</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Rising damp, rear wall</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Inspection 22/07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BI</w:t>
            </w:r>
          </w:p>
        </w:tc>
        <w:tc>
          <w:tcPr>
            <w:tcW w:type="dxa" w:w="1312"/>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Pest</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active infestation</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Inspection 22/07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BI</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1.9</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Flood</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flood affected</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response 25/07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1.10</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Bushfire</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bushfire prone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1.11</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Contamination</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recorded notices</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EPA search 25/07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1.12</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Swimming pool</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applicable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DF1F7"/>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N/A</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1.13</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Tenancy agreement</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to 14/11/2026 at $740/week</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Lease provided 20/07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1.14</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building approvals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Awaiting council response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Requested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1.15</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service diagram</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Awaiting Sydney Water</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Requested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1.16</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Road widening proposal</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Awaiting council response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Requested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Title &amp; ownership</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title shows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Title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Title particulars"/>
        <w:tblDescription w:val="Columns: Particular, Detail, Source, Effect"/>
      </w:tblPr>
      <w:tblGrid>
        <w:gridCol w:w="2107"/>
        <w:gridCol w:w="3438"/>
        <w:gridCol w:w="2218"/>
        <w:gridCol w:w="2329"/>
      </w:tblGrid>
      <w:tr>
        <w:trPr>
          <w:cantSplit/>
          <w:trHeight w:val="420" w:hRule="atLeast"/>
          <w:tblHeader/>
        </w:trPr>
        <w:tc>
          <w:tcPr>
            <w:tcW w:type="dxa" w:w="210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Particular</w:t>
            </w:r>
          </w:p>
        </w:tc>
        <w:tc>
          <w:tcPr>
            <w:tcW w:type="dxa" w:w="343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Detail</w:t>
            </w:r>
          </w:p>
        </w:tc>
        <w:tc>
          <w:tcPr>
            <w:tcW w:type="dxa" w:w="221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329"/>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Effect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Folio identifier</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12/456789</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Registered proprietors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joint tenants</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Both must execute</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Tenure</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Fee simple (Torrens)</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Mortgages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One registered, to be discharged</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Discharge on settlement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Caveats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Covenants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Positive covenant — shared retaining wall maintenance</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Ongoing obligation to the purchaser</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Easements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easement, rear 1.5m</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diagram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Restricts rear building envelope</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Planning &amp; zoning</w:t>
      </w:r>
    </w:p>
    <w:p>
      <w:pPr>
        <w:keepNext/>
        <w:keepLines/>
        <w:pageBreakBefore w:val="0"/>
        <w:widowControl w:val="1"/>
        <w:spacing w:before="0" w:after="100"/>
      </w:pPr>
      <w:r>
        <w:rPr>
          <w:rFonts w:ascii="Calibri" w:hAnsi="Calibri" w:cs="Calibri" w:eastAsia="Calibri"/>
          <w:b/>
          <w:i w:val="0"/>
          <w:caps w:val="1"/>
          <w:color w:val="4C5B73"/>
          <w:spacing w:val="26"/>
          <w:sz w:val="15"/>
          <w:u w:val="none"/>
        </w:rPr>
        <w:t>What may be done with the land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Planning controls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lanning controls"/>
        <w:tblDescription w:val="Columns: Control, Position, Source, Effect"/>
      </w:tblPr>
      <w:tblGrid>
        <w:gridCol w:w="2107"/>
        <w:gridCol w:w="3105"/>
        <w:gridCol w:w="2440"/>
        <w:gridCol w:w="2440"/>
      </w:tblGrid>
      <w:tr>
        <w:trPr>
          <w:cantSplit/>
          <w:trHeight w:val="420" w:hRule="atLeast"/>
          <w:tblHeader/>
        </w:trPr>
        <w:tc>
          <w:tcPr>
            <w:tcW w:type="dxa" w:w="210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Control</w:t>
            </w:r>
          </w:p>
        </w:tc>
        <w:tc>
          <w:tcPr>
            <w:tcW w:type="dxa" w:w="310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44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44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Effect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Zone</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R2 Low Density Residential</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Dwelling permitted with consent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Minimum lot size</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550 m²</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512 m² — subdivision not available</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Height of buildings</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8.5 m</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storeys achievable</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Floor space ratio</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0.5:1</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256 m² gross floor area</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Heritage</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listed; not in a conservation area</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heritage constraint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Acid sulfate soils</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Class 5</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 required for works below 1m</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4   </w:t>
      </w:r>
      <w:r>
        <w:rPr>
          <w:rFonts w:ascii="Calibri" w:hAnsi="Calibri" w:cs="Calibri" w:eastAsia="Calibri"/>
          <w:b w:val="0"/>
          <w:i w:val="0"/>
          <w:color w:val="0C2340"/>
          <w:sz w:val="34"/>
          <w:u w:val="none"/>
        </w:rPr>
        <w:t>Building &amp; pest</w:t>
      </w:r>
    </w:p>
    <w:p>
      <w:pPr>
        <w:keepNext/>
        <w:keepLines/>
        <w:pageBreakBefore w:val="0"/>
        <w:widowControl w:val="1"/>
        <w:spacing w:before="0" w:after="100"/>
      </w:pPr>
      <w:r>
        <w:rPr>
          <w:rFonts w:ascii="Calibri" w:hAnsi="Calibri" w:cs="Calibri" w:eastAsia="Calibri"/>
          <w:b/>
          <w:i w:val="0"/>
          <w:caps w:val="1"/>
          <w:color w:val="4C5B73"/>
          <w:spacing w:val="26"/>
          <w:sz w:val="15"/>
          <w:u w:val="none"/>
        </w:rPr>
        <w:t>Physical condition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Building and pest findings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Building and pest findings"/>
        <w:tblDescription w:val="Columns: Ref, Element, Finding, Severity, Est. cost, Status"/>
      </w:tblPr>
      <w:tblGrid>
        <w:gridCol w:w="824"/>
        <w:gridCol w:w="2059"/>
        <w:gridCol w:w="3192"/>
        <w:gridCol w:w="1339"/>
        <w:gridCol w:w="1339"/>
        <w:gridCol w:w="1339"/>
      </w:tblGrid>
      <w:tr>
        <w:trPr>
          <w:cantSplit/>
          <w:tblHeader/>
        </w:trPr>
        <w:tc>
          <w:tcPr>
            <w:tcW w:type="dxa" w:w="82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05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Element</w:t>
            </w:r>
          </w:p>
        </w:tc>
        <w:tc>
          <w:tcPr>
            <w:tcW w:type="dxa" w:w="319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Finding</w:t>
            </w:r>
          </w:p>
        </w:tc>
        <w:tc>
          <w:tcPr>
            <w:tcW w:type="dxa" w:w="13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Severity</w:t>
            </w:r>
          </w:p>
        </w:tc>
        <w:tc>
          <w:tcPr>
            <w:tcW w:type="dxa" w:w="13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Est. cost</w:t>
            </w:r>
          </w:p>
        </w:tc>
        <w:tc>
          <w:tcPr>
            <w:tcW w:type="dxa" w:w="13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Roof and gutters</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Serviceable; gutters require cleaning</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Minor</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$400</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Rear wall</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Rising damp, active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$6,500</w:t>
            </w:r>
          </w:p>
        </w:tc>
        <w:tc>
          <w:tcPr>
            <w:tcW w:type="dxa" w:w="1339"/>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Subfloor</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Adequate ventilation, dry</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Wet areas</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Original; waterproofing at end of life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Moderate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$9,000</w:t>
            </w:r>
          </w:p>
        </w:tc>
        <w:tc>
          <w:tcPr>
            <w:tcW w:type="dxa" w:w="1339"/>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Electrical</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Switchboard has RCD protection</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Timber pests</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active infestation; no prior damage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5   </w:t>
      </w:r>
      <w:r>
        <w:rPr>
          <w:rFonts w:ascii="Calibri" w:hAnsi="Calibri" w:cs="Calibri" w:eastAsia="Calibri"/>
          <w:b w:val="0"/>
          <w:i w:val="0"/>
          <w:color w:val="0C2340"/>
          <w:sz w:val="34"/>
          <w:u w:val="none"/>
        </w:rPr>
        <w:t>Environmental &amp; hazard</w:t>
      </w:r>
    </w:p>
    <w:p>
      <w:pPr>
        <w:keepNext/>
        <w:keepLines/>
        <w:pageBreakBefore w:val="0"/>
        <w:widowControl w:val="1"/>
        <w:spacing w:before="0" w:after="100"/>
      </w:pPr>
      <w:r>
        <w:rPr>
          <w:rFonts w:ascii="Calibri" w:hAnsi="Calibri" w:cs="Calibri" w:eastAsia="Calibri"/>
          <w:b/>
          <w:i w:val="0"/>
          <w:caps w:val="1"/>
          <w:color w:val="4C5B73"/>
          <w:spacing w:val="26"/>
          <w:sz w:val="15"/>
          <w:u w:val="none"/>
        </w:rPr>
        <w:t>External risk</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Hazard searches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Hazard searches"/>
        <w:tblDescription w:val="Columns: Ref, Hazard, Position, Source, Status"/>
      </w:tblPr>
      <w:tblGrid>
        <w:gridCol w:w="878"/>
        <w:gridCol w:w="2194"/>
        <w:gridCol w:w="3181"/>
        <w:gridCol w:w="2413"/>
        <w:gridCol w:w="1426"/>
      </w:tblGrid>
      <w:tr>
        <w:trPr>
          <w:cantSplit/>
          <w:tblHeader/>
        </w:trPr>
        <w:tc>
          <w:tcPr>
            <w:tcW w:type="dxa" w:w="87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19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Hazard</w:t>
            </w:r>
          </w:p>
        </w:tc>
        <w:tc>
          <w:tcPr>
            <w:tcW w:type="dxa" w:w="31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142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5.1</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Flood</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flood affected</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response 25/07/2026</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5.2</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Bushfire</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bushfire prone</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5.3</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Contamination</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recorded notices</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EPA record search</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5.4</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Mine subsidence</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in a declared district</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Subsidence search</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5.5</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Coastal erosion</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applicable</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w:t>
            </w:r>
          </w:p>
        </w:tc>
        <w:tc>
          <w:tcPr>
            <w:tcW w:type="dxa" w:w="1426"/>
            <w:tcBorders>
              <w:top w:val="nil"/>
              <w:left w:val="nil"/>
              <w:bottom w:val="single" w:sz="4" w:space="0" w:color="DCE3ED"/>
              <w:right w:val="nil"/>
            </w:tcBorders>
            <w:shd w:val="clear" w:color="auto" w:fill="EDF1F7"/>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N/A</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7   </w:t>
      </w:r>
      <w:r>
        <w:rPr>
          <w:rFonts w:ascii="Calibri" w:hAnsi="Calibri" w:cs="Calibri" w:eastAsia="Calibri"/>
          <w:b w:val="0"/>
          <w:i w:val="0"/>
          <w:color w:val="0C2340"/>
          <w:sz w:val="34"/>
          <w:u w:val="none"/>
        </w:rPr>
        <w:t>Outstanding items</w:t>
      </w:r>
    </w:p>
    <w:p>
      <w:pPr>
        <w:keepNext/>
        <w:keepLines/>
        <w:pageBreakBefore w:val="0"/>
        <w:widowControl w:val="1"/>
        <w:spacing w:before="0" w:after="100"/>
      </w:pPr>
      <w:r>
        <w:rPr>
          <w:rFonts w:ascii="Calibri" w:hAnsi="Calibri" w:cs="Calibri" w:eastAsia="Calibri"/>
          <w:b/>
          <w:i w:val="0"/>
          <w:caps w:val="1"/>
          <w:color w:val="4C5B73"/>
          <w:spacing w:val="26"/>
          <w:sz w:val="15"/>
          <w:u w:val="none"/>
        </w:rPr>
        <w:t>Before exchange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Outstanding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building-approval history — requested 24/07, response outstanding.</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Sydney Water sewer service diagram — requested 24/07, response outstanding.</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road-widening proposal search — requested 24/07, response outstanding.</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8   </w:t>
      </w:r>
      <w:r>
        <w:rPr>
          <w:rFonts w:ascii="Calibri" w:hAnsi="Calibri" w:cs="Calibri" w:eastAsia="Calibri"/>
          <w:b w:val="0"/>
          <w:i w:val="0"/>
          <w:color w:val="0C2340"/>
          <w:sz w:val="34"/>
          <w:u w:val="none"/>
        </w:rPr>
        <w:t>Risks &amp; mitigations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Residual position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6"/>
          <w:sz w:val="15"/>
          <w:u w:val="none"/>
        </w:rPr>
        <w:t>Risks and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nd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Rising damp to the rear wall, active</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Fixed-price rectification quote obtained at $6,500. Negotiate a price reduction of no less than that amount, or make exchange conditional on rectification.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Positive covenant — shared retaining wall maintenance</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the covenant terms and confirm the current state of the wall. Budget for a share of future maintenance.</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Wet-area waterproofing at end of life</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Not a defect today. Budget $9,000 within three years.</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Three searches outstanding at the date of this report</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Do not exchange before all three are received and reviewed.</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CONCLUSION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Proceed with conditions. Do not exchange until the three outstanding searches are received, and adjust the price by no less than $6,500 for the damp rectification.</w:t>
            </w:r>
          </w:p>
          <w:p>
            <w:pPr>
              <w:keepNext w:val="0"/>
              <w:keepLines/>
              <w:pageBreakBefore w:val="0"/>
              <w:widowControl w:val="1"/>
              <w:spacing w:before="0" w:after="0" w:line="312" w:lineRule="auto"/>
            </w:pPr>
            <w:r>
              <w:rPr>
                <w:rFonts w:ascii="Calibri" w:hAnsi="Calibri" w:cs="Calibri" w:eastAsia="Calibri"/>
                <w:b w:val="0"/>
                <w:i w:val="0"/>
                <w:color w:val="10192A"/>
                <w:sz w:val="17"/>
                <w:u w:val="none"/>
              </w:rPr>
              <w:t>Nothing found in the investigation is a reason to withdraw. Two findings are quantifiable and are best handled commercially rather than as contract conditions; the three outstanding searches are routine and are expected to return clear.</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Obtain the three outstanding search responses.</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Negotiate the price adjustment for damp rectification.</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Instruct the conveyancer on the positive covenant.</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Prepared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Buyer's Agent</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 Principal</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keepLines/>
        <w:pageBreakBefore w:val="1"/>
        <w:widowControl w:val="1"/>
        <w:spacing w:before="0" w:after="80"/>
      </w:pPr>
      <w:r>
        <w:rPr>
          <w:rFonts w:ascii="Calibri" w:hAnsi="Calibri" w:cs="Calibri" w:eastAsia="Calibri"/>
          <w:b/>
          <w:i w:val="0"/>
          <w:caps w:val="1"/>
          <w:color w:val="1D6FE0"/>
          <w:spacing w:val="50"/>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Evidence index</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12" w:lineRule="auto"/>
      </w:pPr>
      <w:r>
        <w:rPr>
          <w:rFonts w:ascii="Calibri" w:hAnsi="Calibri" w:cs="Calibri" w:eastAsia="Calibri"/>
          <w:b w:val="0"/>
          <w:i w:val="0"/>
          <w:color w:val="4C5B73"/>
          <w:sz w:val="19"/>
          <w:u w:val="none"/>
        </w:rPr>
        <w:t>Every document obtained for this investigation.</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Ref, Document, Obtained from, Dated, Held"/>
      </w:tblPr>
      <w:tblGrid>
        <w:gridCol w:w="907"/>
        <w:gridCol w:w="3515"/>
        <w:gridCol w:w="2494"/>
        <w:gridCol w:w="1587"/>
        <w:gridCol w:w="1587"/>
      </w:tblGrid>
      <w:tr>
        <w:trPr>
          <w:cantSplit/>
          <w:trHeight w:val="420" w:hRule="atLeast"/>
          <w:tblHeader/>
        </w:trPr>
        <w:tc>
          <w:tcPr>
            <w:tcW w:type="dxa" w:w="90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51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249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Obtained from</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Dated</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Held</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registry</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DD-0418-01</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service diagram</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Water authority</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DD-0418-02</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Local council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24/07/2026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DD-0418-03</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1.6</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and pest report</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Licensed inspector</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DD-0418-04</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1.11</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Contamination record search</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Environment authority</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25/07/2026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DD-0418-05</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1.13</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Residential tenancy agreement</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Vendor's agent</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DD-0418-06</w:t>
            </w:r>
          </w:p>
        </w:tc>
      </w:tr>
    </w:tbl>
    <w:p>
      <w:pPr>
        <w:keepNext/>
        <w:keepLines/>
        <w:pageBreakBefore w:val="1"/>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Property Due-Diligence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Due-Diligence Report</dc:title>
  <dc:subject>Structured pre-exchange investigation: title, planning, building, environmental and contractual findings against a numbered checklist.</dc:subject>
  <dc:creator>Aurixa Systems</dc:creator>
  <cp:keywords>Due diligence, Pre-purchase investigation, Contract review,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