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150" w:type="dxa"/>
              <w:left w:w="200" w:type="dxa"/>
              <w:bottom w:w="11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{{property.images.0.caption}}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6690" w:hRule="atLeast"/>
        </w:trPr>
        <w:tc>
          <w:tcPr>
            <w:tcW w:type="dxa" w:w="10091"/>
            <w:tcBorders>
              <w:top w:val="single" w:sz="10" w:space="0" w:color="12B0CE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0"/>
                <w:sz w:val="16"/>
                <w:u w:val="none"/>
              </w:rPr>
              <w:t>Property investment analysis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{{property.address}}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RESEARCHED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MODELLED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2B0CE"/>
                    <w:left w:val="single" w:sz="4" w:space="0" w:color="12B0CE"/>
                    <w:bottom w:val="single" w:sz="4" w:space="0" w:color="12B0CE"/>
                    <w:right w:val="single" w:sz="4" w:space="0" w:color="12B0CE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28"/>
                      <w:sz w:val="14"/>
                      <w:u w:val="none"/>
                    </w:rPr>
                    <w:t>RECOMMENDED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2494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Contents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Investment metrics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Property overview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Location &amp; amenity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Financial analysis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Cash-flow projection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Comparable sales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 &amp; mitigations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2B0CE"/>
          <w:sz w:val="19"/>
          <w:u w:val="none"/>
        </w:rPr>
        <w:t xml:space="preserve">09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Recommendation</w:t>
      </w:r>
    </w:p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case in brief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{{report.executiveSummary}}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Investment metrics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Headline position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PURCHASE PRICE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GROSS YIELD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WEEKLY RENT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4"/>
                <w:u w:val="none"/>
              </w:rPr>
              <w:t>CASH REQUIRED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{{financials.price}}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Recommended maximum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{{financials.grossYield}}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On appraised rent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{{financials.weeklyRent}}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Appraised range $750–780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{{financials.cashRequired}}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Incl. costs, 20% deposit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Property overview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asset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Property particulars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3"/>
              <w:gridCol w:w="2884"/>
              <w:gridCol w:w="1923"/>
              <w:gridCol w:w="2884"/>
            </w:tblGrid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Address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{{property.address}}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Property type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{{property.type}}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Land area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{{property.landArea}}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Building area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{{property.buildingArea}}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Bedrooms / bathrooms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{{property.bedBath}}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Car spaces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{{property.carSpaces}}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Year built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{{property.yearBuilt}}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Zoning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{{property.zoning}}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Current tenancy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{{property.tenancy}}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Condition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{{property.condition}}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494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1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{{property.images.0.caption}}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2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{{property.images.1.caption}}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494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3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{{property.images.2.caption}}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4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{{property.images.3.caption}}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Location &amp; amenity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Why here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4309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SUBJECT AND AMENITY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the subject property, transport, schools and retail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●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Subject property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Rail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Schools</w:t>
            </w:r>
          </w:p>
        </w:tc>
        <w:tc>
          <w:tcPr>
            <w:tcW w:type="dxa" w:w="2523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5B96EB"/>
                <w:sz w:val="17"/>
                <w:u w:val="none"/>
              </w:rPr>
              <w:t xml:space="preserve">◆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Retail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{{property.locationNarrative}}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Financial analysis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Acquisition and holding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Acquisition costs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cquisition costs"/>
        <w:tblDescription w:val="Columns: Item, Basis, Amount, Notes"/>
      </w:tblPr>
      <w:tblGrid>
        <w:gridCol w:w="2948"/>
        <w:gridCol w:w="2268"/>
        <w:gridCol w:w="1814"/>
        <w:gridCol w:w="3061"/>
      </w:tblGrid>
      <w:tr>
        <w:trPr>
          <w:cantSplit/>
          <w:trHeight w:val="420" w:hRule="atLeast"/>
          <w:tblHeader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Notes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81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{{notes}}</w:t>
            </w:r>
          </w:p>
        </w:tc>
      </w:tr>
      <w:tr>
        <w:trPr>
          <w:cantSplit/>
          <w:trHeight w:val="397" w:hRule="atLeast"/>
        </w:trPr>
        <w:tc>
          <w:tcPr>
            <w:tcW w:type="dxa" w:w="294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acquisition cost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81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{{financials.totalCost}}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Stamp duty is an estimate only and must be confirmed with the client's conveyancer. Figures exclude GST unless stated.</w:t>
      </w:r>
    </w:p>
    <w:p>
      <w:pPr>
        <w:keepNext w:val="0"/>
        <w:keepLines/>
        <w:pageBreakBefore w:val="0"/>
        <w:widowControl w:val="1"/>
        <w:spacing w:before="0" w:after="0" w:line="12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First-year holding position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irst-year holding position"/>
        <w:tblDescription w:val="Columns: Item, Annual, Weekly, Basis"/>
      </w:tblPr>
      <w:tblGrid>
        <w:gridCol w:w="3288"/>
        <w:gridCol w:w="1928"/>
        <w:gridCol w:w="1701"/>
        <w:gridCol w:w="3175"/>
      </w:tblGrid>
      <w:tr>
        <w:trPr>
          <w:cantSplit/>
          <w:trHeight w:val="420" w:hRule="atLeast"/>
          <w:tblHeader/>
        </w:trPr>
        <w:tc>
          <w:tcPr>
            <w:tcW w:type="dxa" w:w="328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Annual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Weekly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{{annual}}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</w:tr>
      <w:tr>
        <w:trPr>
          <w:cantSplit/>
          <w:trHeight w:val="397" w:hRule="atLeast"/>
        </w:trPr>
        <w:tc>
          <w:tcPr>
            <w:tcW w:type="dxa" w:w="328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Pre-tax position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{{financials.preTax}}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{{financials.preTaxWeekly}}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Cash-flow projection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Ten-year view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515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Cumulative after-tax position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36"/>
                <w:sz w:val="15"/>
                <w:u w:val="none"/>
              </w:rPr>
              <w:t>[  LINE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{{cashflow.series}}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Ten years, nominal   ·   Source: {{cashflow.source}}   ·   Alt text: Cumulative after-tax net position turns positive in year six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2B0CE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Projection assumptions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3"/>
              <w:gridCol w:w="2884"/>
              <w:gridCol w:w="1923"/>
              <w:gridCol w:w="2884"/>
            </w:tblGrid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Capital growth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{{assumptions.growth}}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Rental growth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{{assumptions.rentGrowth}}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Interest rate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{{assumptions.rate}}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Vacancy allowance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{{assumptions.vacancy}}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Marginal tax rate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{{assumptions.taxRate}}</w:t>
                  </w:r>
                </w:p>
              </w:tc>
              <w:tc>
                <w:tcPr>
                  <w:tcW w:type="dxa" w:w="1923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Depreciation</w:t>
                  </w:r>
                </w:p>
              </w:tc>
              <w:tc>
                <w:tcPr>
                  <w:tcW w:type="dxa" w:w="2884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5" w:type="dxa"/>
                    <w:left w:w="133" w:type="dxa"/>
                    <w:bottom w:w="95" w:type="dxa"/>
                    <w:right w:w="13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{{assumptions.depreciation}}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Comparable sales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Evidence for the price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8"/>
          <w:sz w:val="15"/>
          <w:u w:val="none"/>
        </w:rPr>
        <w:t>Recent comparable sales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cent comparable sales"/>
        <w:tblDescription w:val="Columns: Address, Sold, Price, Land, Beds, Adjustment"/>
      </w:tblPr>
      <w:tblGrid>
        <w:gridCol w:w="2752"/>
        <w:gridCol w:w="1325"/>
        <w:gridCol w:w="1529"/>
        <w:gridCol w:w="1223"/>
        <w:gridCol w:w="917"/>
        <w:gridCol w:w="2344"/>
      </w:tblGrid>
      <w:tr>
        <w:trPr>
          <w:cantSplit/>
          <w:trHeight w:val="420" w:hRule="atLeast"/>
          <w:tblHeader/>
        </w:trPr>
        <w:tc>
          <w:tcPr>
            <w:tcW w:type="dxa" w:w="275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Address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Sold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Price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Land</w:t>
            </w:r>
          </w:p>
        </w:tc>
        <w:tc>
          <w:tcPr>
            <w:tcW w:type="dxa" w:w="91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Beds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Adjustment</w:t>
            </w:r>
          </w:p>
        </w:tc>
      </w:tr>
      <w:tr>
        <w:trPr>
          <w:cantSplit/>
          <w:trHeight w:val="397" w:hRule="atLeast"/>
        </w:trPr>
        <w:tc>
          <w:tcPr>
            <w:tcW w:type="dxa" w:w="27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{{soldDate}}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{{soldPrice}}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{{land}}</w:t>
            </w:r>
          </w:p>
        </w:tc>
        <w:tc>
          <w:tcPr>
            <w:tcW w:type="dxa" w:w="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{{beds}}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{{adjustment}}</w:t>
            </w:r>
          </w:p>
        </w:tc>
      </w:tr>
      <w:tr>
        <w:trPr>
          <w:cantSplit/>
          <w:trHeight w:val="397" w:hRule="atLeast"/>
        </w:trPr>
        <w:tc>
          <w:tcPr>
            <w:tcW w:type="dxa" w:w="27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{{soldDate}}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{{soldPrice}}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{{land}}</w:t>
            </w:r>
          </w:p>
        </w:tc>
        <w:tc>
          <w:tcPr>
            <w:tcW w:type="dxa" w:w="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{{beds}}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{{adjustment}}</w:t>
            </w:r>
          </w:p>
        </w:tc>
      </w:tr>
      <w:tr>
        <w:trPr>
          <w:cantSplit/>
          <w:trHeight w:val="397" w:hRule="atLeast"/>
        </w:trPr>
        <w:tc>
          <w:tcPr>
            <w:tcW w:type="dxa" w:w="27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{{soldDate}}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{{soldPrice}}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{{land}}</w:t>
            </w:r>
          </w:p>
        </w:tc>
        <w:tc>
          <w:tcPr>
            <w:tcW w:type="dxa" w:w="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{{beds}}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{{adjustment}}</w:t>
            </w:r>
          </w:p>
        </w:tc>
      </w:tr>
      <w:tr>
        <w:trPr>
          <w:cantSplit/>
          <w:trHeight w:val="397" w:hRule="atLeast"/>
        </w:trPr>
        <w:tc>
          <w:tcPr>
            <w:tcW w:type="dxa" w:w="275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{{address}}</w:t>
            </w:r>
          </w:p>
        </w:tc>
        <w:tc>
          <w:tcPr>
            <w:tcW w:type="dxa" w:w="132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{{soldDate}}</w:t>
            </w:r>
          </w:p>
        </w:tc>
        <w:tc>
          <w:tcPr>
            <w:tcW w:type="dxa" w:w="152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{{soldPrice}}</w:t>
            </w:r>
          </w:p>
        </w:tc>
        <w:tc>
          <w:tcPr>
            <w:tcW w:type="dxa" w:w="122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{{land}}</w:t>
            </w:r>
          </w:p>
        </w:tc>
        <w:tc>
          <w:tcPr>
            <w:tcW w:type="dxa" w:w="9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{{beds}}</w:t>
            </w:r>
          </w:p>
        </w:tc>
        <w:tc>
          <w:tcPr>
            <w:tcW w:type="dxa" w:w="234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{{adjustment}}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Adjustments are the analyst's assessment relative to the subject property.</w:t>
      </w:r>
    </w:p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08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Risks &amp; mitigations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What could go wrong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8"/>
          <w:sz w:val="15"/>
          <w:u w:val="none"/>
        </w:rPr>
        <w:t>Risks and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and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27"/>
                <w:u w:val="none"/>
              </w:rPr>
              <w:t>09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The decision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8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71" w:type="dxa"/>
              <w:left w:w="199" w:type="dxa"/>
              <w:bottom w:w="171" w:type="dxa"/>
              <w:right w:w="19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8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1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{{author.title}}   ›   {{author.credentials}}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{{author.bio}}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1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{{author.credentialList[2]}}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{{author.email}}   ·   {{author.phone}}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2B0CE"/>
          <w:spacing w:val="52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Data sources &amp; provenance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Every figure in this report and where it came from.</w:t>
      </w:r>
    </w:p>
    <w:p>
      <w:pPr>
        <w:keepNext w:val="0"/>
        <w:keepLines/>
        <w:pageBreakBefore w:val="0"/>
        <w:widowControl w:val="1"/>
        <w:spacing w:before="0" w:after="0" w:line="108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Data, Source, As at"/>
      </w:tblPr>
      <w:tblGrid>
        <w:gridCol w:w="3402"/>
        <w:gridCol w:w="4535"/>
        <w:gridCol w:w="2154"/>
      </w:tblGrid>
      <w:tr>
        <w:trPr>
          <w:cantSplit/>
          <w:trHeight w:val="420" w:hRule="atLeast"/>
          <w:tblHeader/>
        </w:trPr>
        <w:tc>
          <w:tcPr>
            <w:tcW w:type="dxa" w:w="3402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Data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Source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C2340"/>
            <w:tcMar>
              <w:top w:w="95" w:type="dxa"/>
              <w:left w:w="133" w:type="dxa"/>
              <w:bottom w:w="95" w:type="dxa"/>
              <w:right w:w="13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As at</w:t>
            </w:r>
          </w:p>
        </w:tc>
      </w:tr>
      <w:tr>
        <w:trPr>
          <w:cantSplit/>
          <w:trHeight w:val="397" w:hRule="atLeast"/>
        </w:trPr>
        <w:tc>
          <w:tcPr>
            <w:tcW w:type="dxa" w:w="34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4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4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  <w:tr>
        <w:trPr>
          <w:cantSplit/>
          <w:trHeight w:val="397" w:hRule="atLeast"/>
        </w:trPr>
        <w:tc>
          <w:tcPr>
            <w:tcW w:type="dxa" w:w="340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{{data}}</w:t>
            </w:r>
          </w:p>
        </w:tc>
        <w:tc>
          <w:tcPr>
            <w:tcW w:type="dxa" w:w="453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{{source}}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95" w:type="dxa"/>
              <w:left w:w="133" w:type="dxa"/>
              <w:bottom w:w="95" w:type="dxa"/>
              <w:right w:w="13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{{asAt}}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2B0CE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36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2B0CE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1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 w:val="0"/>
        <w:keepLines/>
        <w:pageBreakBefore w:val="1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0C2340"/>
              <w:left w:val="single" w:sz="4" w:space="0" w:color="0C2340"/>
              <w:bottom w:val="single" w:sz="4" w:space="0" w:color="0C2340"/>
              <w:right w:val="single" w:sz="4" w:space="0" w:color="0C2340"/>
            </w:tcBorders>
            <w:shd w:val="clear" w:color="auto" w:fill="0C2340"/>
            <w:tcMar>
              <w:top w:w="320" w:type="dxa"/>
              <w:left w:w="260" w:type="dxa"/>
              <w:bottom w:w="320" w:type="dxa"/>
              <w:right w:w="260" w:type="dxa"/>
            </w:tcMar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061"/>
            </w:tblGrid>
            <w:tr>
              <w:trPr>
                <w:cantSplit/>
              </w:trPr>
              <w:tc>
                <w:tcPr>
                  <w:tcW w:type="dxa" w:w="3061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36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34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40"/>
                <w:sz w:val="15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WEB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{{org.website}}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EMAIL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{{org.email}}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PHONE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{{org.phone}}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ADDRESS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SOCIAL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{{org.socials}}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AFC0D6"/>
                <w:spacing w:val="32"/>
                <w:sz w:val="14"/>
                <w:u w:val="none"/>
              </w:rPr>
              <w:t>Aurixa Systems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  <w:jc w:val="center"/>
      </w:pP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>Aurixa Systems Pty Ltd   ·   ABN {{org.abn}}   ·   COMMERCIAL IN CONFIDENCE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28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2B0CE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8"/>
              <w:sz w:val="14"/>
              <w:u w:val="none"/>
            </w:rPr>
            <w:t>Property Investment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Investment Report</dc:title>
  <dc:subject>Full investment case for a single property: the asset, the numbers, the risks and a clear buy / do-not-buy recommendation.</dc:subject>
  <dc:creator>Aurixa Systems</dc:creator>
  <cp:keywords>Property investment, Investment analysis, Acquisition case,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