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6" w:space="0" w:color="C2CDDC"/>
              <w:left w:val="single" w:sz="6" w:space="0" w:color="C2CDDC"/>
              <w:bottom w:val="single" w:sz="6" w:space="0" w:color="C2CDDC"/>
              <w:right w:val="single" w:sz="6" w:space="0" w:color="C2CDDC"/>
            </w:tcBorders>
            <w:shd w:val="clear" w:color="auto" w:fill="EDF1F7"/>
            <w:tcMar>
              <w:top w:w="1150" w:type="dxa"/>
              <w:left w:w="200" w:type="dxa"/>
              <w:bottom w:w="1150" w:type="dxa"/>
              <w:right w:w="200" w:type="dxa"/>
            </w:tcMar>
          </w:tcPr>
          <w:p>
            <w:pPr>
              <w:keepNext w:val="0"/>
              <w:keepLines/>
              <w:pageBreakBefore w:val="0"/>
              <w:widowControl w:val="1"/>
              <w:spacing w:before="0" w:after="0"/>
              <w:jc w:val="center"/>
            </w:pPr>
            <w:r>
              <w:rPr>
                <w:rFonts w:ascii="Calibri" w:hAnsi="Calibri" w:cs="Calibri" w:eastAsia="Calibri"/>
                <w:b/>
                <w:i w:val="0"/>
                <w:caps w:val="1"/>
                <w:color w:val="8493A8"/>
                <w:spacing w:val="32"/>
                <w:sz w:val="15"/>
                <w:u w:val="none"/>
              </w:rPr>
              <w:t>[  COVER IMAGE  —  1600 × 900 px minimum  ]</w:t>
            </w:r>
          </w:p>
          <w:p>
            <w:pPr>
              <w:keepNext w:val="0"/>
              <w:keepLines/>
              <w:pageBreakBefore w:val="0"/>
              <w:widowControl w:val="1"/>
              <w:spacing w:before="80" w:after="0"/>
              <w:jc w:val="center"/>
            </w:pPr>
            <w:r>
              <w:rPr>
                <w:rFonts w:ascii="Calibri" w:hAnsi="Calibri" w:cs="Calibri" w:eastAsia="Calibri"/>
                <w:b w:val="0"/>
                <w:i w:val="0"/>
                <w:color w:val="8493A8"/>
                <w:sz w:val="14"/>
                <w:u w:val="none"/>
              </w:rPr>
              <w:t>Street elevation, facing north</w:t>
            </w:r>
          </w:p>
        </w:tc>
      </w:tr>
    </w:tbl>
    <w:p>
      <w:pPr>
        <w:keepNext w:val="0"/>
        <w:keepLines/>
        <w:pageBreakBefore w:val="0"/>
        <w:widowControl w:val="1"/>
        <w:spacing w:before="0" w:after="0" w:line="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Height w:val="6690" w:hRule="atLeast"/>
        </w:trPr>
        <w:tc>
          <w:tcPr>
            <w:tcW w:type="dxa" w:w="10091"/>
            <w:tcBorders>
              <w:top w:val="single" w:sz="10" w:space="0" w:color="12B0CE"/>
              <w:left w:val="nil"/>
              <w:bottom w:val="nil"/>
              <w:right w:val="nil"/>
            </w:tcBorders>
            <w:shd w:val="clear" w:color="auto" w:fill="0C2340"/>
            <w:tcMar>
              <w:top w:w="380" w:type="dxa"/>
              <w:left w:w="320" w:type="dxa"/>
              <w:bottom w:w="380" w:type="dxa"/>
              <w:right w:w="320" w:type="dxa"/>
            </w:tcMar>
            <w:vAlign w:val="center"/>
          </w:tcPr>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3515"/>
            </w:tblGrid>
            <w:tr>
              <w:trPr>
                <w:cantSplit/>
              </w:trPr>
              <w:tc>
                <w:tcPr>
                  <w:tcW w:type="dxa" w:w="3515"/>
                  <w:tcBorders>
                    <w:top w:val="dashed" w:sz="8" w:space="0" w:color="12B0CE"/>
                    <w:left w:val="dashed" w:sz="8" w:space="0" w:color="12B0CE"/>
                    <w:bottom w:val="dashed" w:sz="8" w:space="0" w:color="12B0CE"/>
                    <w:right w:val="dashed" w:sz="8" w:space="0" w:color="12B0CE"/>
                  </w:tcBorders>
                  <w:tcMar>
                    <w:top w:w="190" w:type="dxa"/>
                    <w:left w:w="130" w:type="dxa"/>
                    <w:bottom w:w="190" w:type="dxa"/>
                    <w:right w:w="130" w:type="dxa"/>
                  </w:tcMar>
                </w:tcPr>
                <w:p>
                  <w:pPr>
                    <w:keepNext w:val="0"/>
                    <w:keepLines/>
                    <w:pageBreakBefore w:val="0"/>
                    <w:widowControl w:val="1"/>
                    <w:spacing w:before="0" w:after="0"/>
                    <w:jc w:val="center"/>
                  </w:pPr>
                  <w:r>
                    <w:rPr>
                      <w:rFonts w:ascii="Calibri" w:hAnsi="Calibri" w:cs="Calibri" w:eastAsia="Calibri"/>
                      <w:b/>
                      <w:i w:val="0"/>
                      <w:caps w:val="1"/>
                      <w:color w:val="12B0CE"/>
                      <w:spacing w:val="36"/>
                      <w:sz w:val="14"/>
                      <w:u w:val="none"/>
                    </w:rPr>
                    <w:t>[  AURIXA SYSTEMS  ]</w:t>
                  </w:r>
                </w:p>
              </w:tc>
            </w:tr>
          </w:tbl>
          <w:p/>
          <w:p>
            <w:pPr>
              <w:keepNext w:val="0"/>
              <w:keepLines/>
              <w:pageBreakBefore w:val="0"/>
              <w:widowControl w:val="1"/>
              <w:spacing w:before="0" w:after="0" w:line="200" w:lineRule="exact"/>
            </w:pPr>
            <w:r>
              <w:rPr>
                <w:sz w:val="2"/>
              </w:rPr>
            </w:r>
          </w:p>
          <w:p>
            <w:pPr>
              <w:keepNext w:val="0"/>
              <w:keepLines/>
              <w:pageBreakBefore w:val="0"/>
              <w:widowControl w:val="1"/>
              <w:spacing w:before="0" w:after="80"/>
            </w:pPr>
            <w:r>
              <w:rPr>
                <w:rFonts w:ascii="Calibri" w:hAnsi="Calibri" w:cs="Calibri" w:eastAsia="Calibri"/>
                <w:b/>
                <w:i w:val="0"/>
                <w:caps w:val="1"/>
                <w:color w:val="12B0CE"/>
                <w:spacing w:val="60"/>
                <w:sz w:val="16"/>
                <w:u w:val="none"/>
              </w:rPr>
              <w:t>Property investment analysis</w:t>
            </w:r>
          </w:p>
          <w:p>
            <w:pPr>
              <w:keepNext w:val="0"/>
              <w:keepLines/>
              <w:pageBreakBefore w:val="0"/>
              <w:widowControl w:val="1"/>
              <w:spacing w:before="0" w:after="180"/>
            </w:pPr>
            <w:r>
              <w:rPr>
                <w:rFonts w:ascii="Calibri" w:hAnsi="Calibri" w:cs="Calibri" w:eastAsia="Calibri"/>
                <w:b/>
                <w:i w:val="0"/>
                <w:caps w:val="1"/>
                <w:color w:val="FFFFFF"/>
                <w:spacing w:val="48"/>
                <w:sz w:val="19"/>
                <w:u w:val="none"/>
              </w:rPr>
              <w:t>Aurixa Systems</w:t>
            </w:r>
          </w:p>
          <w:p>
            <w:pPr>
              <w:keepNext/>
              <w:keepLines/>
              <w:pageBreakBefore w:val="0"/>
              <w:widowControl w:val="1"/>
              <w:spacing w:before="0" w:after="160" w:line="230" w:lineRule="auto"/>
            </w:pPr>
            <w:r>
              <w:rPr>
                <w:rFonts w:ascii="Calibri" w:hAnsi="Calibri" w:cs="Calibri" w:eastAsia="Calibri"/>
                <w:b/>
                <w:i w:val="0"/>
                <w:color w:val="FFFFFF"/>
                <w:spacing w:val="-4"/>
                <w:sz w:val="60"/>
                <w:u w:val="none"/>
              </w:rPr>
              <w:t>Property Investment Report</w:t>
            </w:r>
          </w:p>
          <w:p>
            <w:pPr>
              <w:keepNext w:val="0"/>
              <w:keepLines/>
              <w:pageBreakBefore w:val="0"/>
              <w:widowControl w:val="1"/>
              <w:spacing w:before="0" w:after="0" w:line="322" w:lineRule="auto"/>
            </w:pPr>
            <w:r>
              <w:rPr>
                <w:rFonts w:ascii="Calibri" w:hAnsi="Calibri" w:cs="Calibri" w:eastAsia="Calibri"/>
                <w:b w:val="0"/>
                <w:i w:val="0"/>
                <w:color w:val="AFC0D6"/>
                <w:sz w:val="22"/>
                <w:u w:val="none"/>
              </w:rPr>
              <w:t>12 Example Street, Northbridge NSW 2063 — a researched investment case covering the asset, the numbers, the risks and a recommendation.</w:t>
            </w:r>
          </w:p>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872"/>
              <w:gridCol w:w="2872"/>
              <w:gridCol w:w="2872"/>
            </w:tblGrid>
            <w:tr>
              <w:trPr>
                <w:cantSplit/>
              </w:trPr>
              <w:tc>
                <w:tcPr>
                  <w:tcW w:type="dxa" w:w="2872"/>
                  <w:tcBorders>
                    <w:top w:val="single" w:sz="4" w:space="0" w:color="12B0CE"/>
                    <w:left w:val="single" w:sz="4" w:space="0" w:color="12B0CE"/>
                    <w:bottom w:val="single" w:sz="4" w:space="0" w:color="12B0CE"/>
                    <w:right w:val="single" w:sz="4" w:space="0" w:color="12B0CE"/>
                  </w:tcBorders>
                  <w:shd w:val="clear" w:color="auto" w:fill="16375C"/>
                  <w:tcMar>
                    <w:top w:w="90" w:type="dxa"/>
                    <w:left w:w="70" w:type="dxa"/>
                    <w:bottom w:w="90" w:type="dxa"/>
                    <w:right w:w="70" w:type="dxa"/>
                  </w:tcMar>
                </w:tcPr>
                <w:p>
                  <w:pPr>
                    <w:keepNext w:val="0"/>
                    <w:keepLines/>
                    <w:pageBreakBefore w:val="0"/>
                    <w:widowControl w:val="1"/>
                    <w:spacing w:before="0" w:after="0"/>
                    <w:jc w:val="center"/>
                  </w:pPr>
                  <w:r>
                    <w:rPr>
                      <w:rFonts w:ascii="Calibri" w:hAnsi="Calibri" w:cs="Calibri" w:eastAsia="Calibri"/>
                      <w:b/>
                      <w:i w:val="0"/>
                      <w:caps w:val="1"/>
                      <w:color w:val="12B0CE"/>
                      <w:spacing w:val="28"/>
                      <w:sz w:val="14"/>
                      <w:u w:val="none"/>
                    </w:rPr>
                    <w:t>RESEARCHED</w:t>
                  </w:r>
                </w:p>
              </w:tc>
              <w:tc>
                <w:tcPr>
                  <w:tcW w:type="dxa" w:w="2872"/>
                  <w:tcBorders>
                    <w:top w:val="single" w:sz="4" w:space="0" w:color="12B0CE"/>
                    <w:left w:val="single" w:sz="4" w:space="0" w:color="12B0CE"/>
                    <w:bottom w:val="single" w:sz="4" w:space="0" w:color="12B0CE"/>
                    <w:right w:val="single" w:sz="4" w:space="0" w:color="12B0CE"/>
                  </w:tcBorders>
                  <w:shd w:val="clear" w:color="auto" w:fill="16375C"/>
                  <w:tcMar>
                    <w:top w:w="90" w:type="dxa"/>
                    <w:left w:w="70" w:type="dxa"/>
                    <w:bottom w:w="90" w:type="dxa"/>
                    <w:right w:w="70" w:type="dxa"/>
                  </w:tcMar>
                </w:tcPr>
                <w:p>
                  <w:pPr>
                    <w:keepNext w:val="0"/>
                    <w:keepLines/>
                    <w:pageBreakBefore w:val="0"/>
                    <w:widowControl w:val="1"/>
                    <w:spacing w:before="0" w:after="0"/>
                    <w:jc w:val="center"/>
                  </w:pPr>
                  <w:r>
                    <w:rPr>
                      <w:rFonts w:ascii="Calibri" w:hAnsi="Calibri" w:cs="Calibri" w:eastAsia="Calibri"/>
                      <w:b/>
                      <w:i w:val="0"/>
                      <w:caps w:val="1"/>
                      <w:color w:val="12B0CE"/>
                      <w:spacing w:val="28"/>
                      <w:sz w:val="14"/>
                      <w:u w:val="none"/>
                    </w:rPr>
                    <w:t>MODELLED</w:t>
                  </w:r>
                </w:p>
              </w:tc>
              <w:tc>
                <w:tcPr>
                  <w:tcW w:type="dxa" w:w="2872"/>
                  <w:tcBorders>
                    <w:top w:val="single" w:sz="4" w:space="0" w:color="12B0CE"/>
                    <w:left w:val="single" w:sz="4" w:space="0" w:color="12B0CE"/>
                    <w:bottom w:val="single" w:sz="4" w:space="0" w:color="12B0CE"/>
                    <w:right w:val="single" w:sz="4" w:space="0" w:color="12B0CE"/>
                  </w:tcBorders>
                  <w:shd w:val="clear" w:color="auto" w:fill="16375C"/>
                  <w:tcMar>
                    <w:top w:w="90" w:type="dxa"/>
                    <w:left w:w="70" w:type="dxa"/>
                    <w:bottom w:w="90" w:type="dxa"/>
                    <w:right w:w="70" w:type="dxa"/>
                  </w:tcMar>
                </w:tcPr>
                <w:p>
                  <w:pPr>
                    <w:keepNext w:val="0"/>
                    <w:keepLines/>
                    <w:pageBreakBefore w:val="0"/>
                    <w:widowControl w:val="1"/>
                    <w:spacing w:before="0" w:after="0"/>
                    <w:jc w:val="center"/>
                  </w:pPr>
                  <w:r>
                    <w:rPr>
                      <w:rFonts w:ascii="Calibri" w:hAnsi="Calibri" w:cs="Calibri" w:eastAsia="Calibri"/>
                      <w:b/>
                      <w:i w:val="0"/>
                      <w:caps w:val="1"/>
                      <w:color w:val="12B0CE"/>
                      <w:spacing w:val="28"/>
                      <w:sz w:val="14"/>
                      <w:u w:val="none"/>
                    </w:rPr>
                    <w:t>RECOMMENDED</w:t>
                  </w:r>
                </w:p>
              </w:tc>
            </w:tr>
          </w:tbl>
          <w:p/>
        </w:tc>
      </w:tr>
    </w:tbl>
    <w:p>
      <w:pPr>
        <w:keepNext w:val="0"/>
        <w:keepLines/>
        <w:pageBreakBefore w:val="0"/>
        <w:widowControl w:val="1"/>
        <w:spacing w:before="0" w:after="0" w:line="2494"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3027"/>
        <w:gridCol w:w="2018"/>
        <w:gridCol w:w="3027"/>
      </w:tblGrid>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5" w:type="dxa"/>
              <w:left w:w="133" w:type="dxa"/>
              <w:bottom w:w="95" w:type="dxa"/>
              <w:right w:w="133" w:type="dxa"/>
            </w:tcMar>
            <w:vAlign w:val="center"/>
          </w:tcPr>
          <w:p>
            <w:pPr>
              <w:keepNext/>
              <w:keepLines/>
              <w:pageBreakBefore w:val="0"/>
              <w:widowControl w:val="1"/>
              <w:spacing w:before="0" w:after="0" w:line="269" w:lineRule="auto"/>
            </w:pPr>
            <w:r>
              <w:rPr>
                <w:rFonts w:ascii="Calibri" w:hAnsi="Calibri" w:cs="Calibri" w:eastAsia="Calibri"/>
                <w:b/>
                <w:i w:val="0"/>
                <w:caps w:val="1"/>
                <w:color w:val="10192A"/>
                <w:spacing w:val="16"/>
                <w:sz w:val="15"/>
                <w:u w:val="none"/>
              </w:rPr>
              <w:t>Prepared for</w:t>
            </w:r>
          </w:p>
        </w:tc>
        <w:tc>
          <w:tcPr>
            <w:tcW w:type="dxa" w:w="3027"/>
            <w:tcBorders>
              <w:top w:val="single" w:sz="4" w:space="0" w:color="FFFFFF"/>
              <w:left w:val="nil"/>
              <w:bottom w:val="single" w:sz="4" w:space="0" w:color="DCE3ED"/>
              <w:right w:val="nil"/>
            </w:tcBorders>
            <w:shd w:val="clear" w:color="auto" w:fill="FFFFFF"/>
            <w:tcMar>
              <w:top w:w="95" w:type="dxa"/>
              <w:left w:w="133" w:type="dxa"/>
              <w:bottom w:w="95" w:type="dxa"/>
              <w:right w:w="133" w:type="dxa"/>
            </w:tcMar>
            <w:vAlign w:val="center"/>
          </w:tcPr>
          <w:p>
            <w:pPr>
              <w:keepNext/>
              <w:keepLines/>
              <w:pageBreakBefore w:val="0"/>
              <w:widowControl w:val="1"/>
              <w:spacing w:before="0" w:after="0" w:line="278" w:lineRule="auto"/>
            </w:pPr>
            <w:r>
              <w:rPr>
                <w:rFonts w:ascii="Calibri" w:hAnsi="Calibri" w:cs="Calibri" w:eastAsia="Calibri"/>
                <w:b w:val="0"/>
                <w:i w:val="0"/>
                <w:color w:val="10192A"/>
                <w:sz w:val="17"/>
                <w:u w:val="none"/>
              </w:rPr>
              <w:t>J. &amp; S. Nguyen</w:t>
            </w:r>
          </w:p>
        </w:tc>
        <w:tc>
          <w:tcPr>
            <w:tcW w:type="dxa" w:w="2018"/>
            <w:tcBorders>
              <w:top w:val="single" w:sz="4" w:space="0" w:color="FFFFFF"/>
              <w:left w:val="nil"/>
              <w:bottom w:val="single" w:sz="4" w:space="0" w:color="FFFFFF"/>
              <w:right w:val="nil"/>
            </w:tcBorders>
            <w:shd w:val="clear" w:color="auto" w:fill="EDF1F7"/>
            <w:tcMar>
              <w:top w:w="95" w:type="dxa"/>
              <w:left w:w="133" w:type="dxa"/>
              <w:bottom w:w="95" w:type="dxa"/>
              <w:right w:w="133" w:type="dxa"/>
            </w:tcMar>
            <w:vAlign w:val="center"/>
          </w:tcPr>
          <w:p>
            <w:pPr>
              <w:keepNext/>
              <w:keepLines/>
              <w:pageBreakBefore w:val="0"/>
              <w:widowControl w:val="1"/>
              <w:spacing w:before="0" w:after="0" w:line="269" w:lineRule="auto"/>
            </w:pPr>
            <w:r>
              <w:rPr>
                <w:rFonts w:ascii="Calibri" w:hAnsi="Calibri" w:cs="Calibri" w:eastAsia="Calibri"/>
                <w:b/>
                <w:i w:val="0"/>
                <w:caps w:val="1"/>
                <w:color w:val="10192A"/>
                <w:spacing w:val="16"/>
                <w:sz w:val="15"/>
                <w:u w:val="none"/>
              </w:rPr>
              <w:t>Client reference</w:t>
            </w:r>
          </w:p>
        </w:tc>
        <w:tc>
          <w:tcPr>
            <w:tcW w:type="dxa" w:w="3027"/>
            <w:tcBorders>
              <w:top w:val="single" w:sz="4" w:space="0" w:color="FFFFFF"/>
              <w:left w:val="nil"/>
              <w:bottom w:val="single" w:sz="4" w:space="0" w:color="DCE3ED"/>
              <w:right w:val="nil"/>
            </w:tcBorders>
            <w:shd w:val="clear" w:color="auto" w:fill="FFFFFF"/>
            <w:tcMar>
              <w:top w:w="95" w:type="dxa"/>
              <w:left w:w="133" w:type="dxa"/>
              <w:bottom w:w="95" w:type="dxa"/>
              <w:right w:w="133" w:type="dxa"/>
            </w:tcMar>
            <w:vAlign w:val="center"/>
          </w:tcPr>
          <w:p>
            <w:pPr>
              <w:keepNext/>
              <w:keepLines/>
              <w:pageBreakBefore w:val="0"/>
              <w:widowControl w:val="1"/>
              <w:spacing w:before="0" w:after="0" w:line="278" w:lineRule="auto"/>
            </w:pPr>
            <w:r>
              <w:rPr>
                <w:rFonts w:ascii="Calibri" w:hAnsi="Calibri" w:cs="Calibri" w:eastAsia="Calibri"/>
                <w:b w:val="0"/>
                <w:i w:val="0"/>
                <w:color w:val="10192A"/>
                <w:sz w:val="17"/>
                <w:u w:val="none"/>
              </w:rPr>
              <w:t>CL-2026-0418</w:t>
            </w: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5" w:type="dxa"/>
              <w:left w:w="133" w:type="dxa"/>
              <w:bottom w:w="95" w:type="dxa"/>
              <w:right w:w="133" w:type="dxa"/>
            </w:tcMar>
            <w:vAlign w:val="center"/>
          </w:tcPr>
          <w:p>
            <w:pPr>
              <w:keepNext/>
              <w:keepLines/>
              <w:pageBreakBefore w:val="0"/>
              <w:widowControl w:val="1"/>
              <w:spacing w:before="0" w:after="0" w:line="269" w:lineRule="auto"/>
            </w:pPr>
            <w:r>
              <w:rPr>
                <w:rFonts w:ascii="Calibri" w:hAnsi="Calibri" w:cs="Calibri" w:eastAsia="Calibri"/>
                <w:b/>
                <w:i w:val="0"/>
                <w:caps w:val="1"/>
                <w:color w:val="10192A"/>
                <w:spacing w:val="16"/>
                <w:sz w:val="15"/>
                <w:u w:val="none"/>
              </w:rPr>
              <w:t>Prepared by</w:t>
            </w:r>
          </w:p>
        </w:tc>
        <w:tc>
          <w:tcPr>
            <w:tcW w:type="dxa" w:w="3027"/>
            <w:tcBorders>
              <w:top w:val="single" w:sz="4" w:space="0" w:color="FFFFFF"/>
              <w:left w:val="nil"/>
              <w:bottom w:val="single" w:sz="4" w:space="0" w:color="DCE3ED"/>
              <w:right w:val="nil"/>
            </w:tcBorders>
            <w:shd w:val="clear" w:color="auto" w:fill="FFFFFF"/>
            <w:tcMar>
              <w:top w:w="95" w:type="dxa"/>
              <w:left w:w="133" w:type="dxa"/>
              <w:bottom w:w="95" w:type="dxa"/>
              <w:right w:w="133" w:type="dxa"/>
            </w:tcMar>
            <w:vAlign w:val="center"/>
          </w:tcPr>
          <w:p>
            <w:pPr>
              <w:keepNext/>
              <w:keepLines/>
              <w:pageBreakBefore w:val="0"/>
              <w:widowControl w:val="1"/>
              <w:spacing w:before="0" w:after="0" w:line="278" w:lineRule="auto"/>
            </w:pPr>
            <w:r>
              <w:rPr>
                <w:rFonts w:ascii="Calibri" w:hAnsi="Calibri" w:cs="Calibri" w:eastAsia="Calibri"/>
                <w:b w:val="0"/>
                <w:i w:val="0"/>
                <w:color w:val="10192A"/>
                <w:sz w:val="17"/>
                <w:u w:val="none"/>
              </w:rPr>
              <w:t>A. Nguyen</w:t>
            </w:r>
          </w:p>
        </w:tc>
        <w:tc>
          <w:tcPr>
            <w:tcW w:type="dxa" w:w="2018"/>
            <w:tcBorders>
              <w:top w:val="single" w:sz="4" w:space="0" w:color="FFFFFF"/>
              <w:left w:val="nil"/>
              <w:bottom w:val="single" w:sz="4" w:space="0" w:color="FFFFFF"/>
              <w:right w:val="nil"/>
            </w:tcBorders>
            <w:shd w:val="clear" w:color="auto" w:fill="EDF1F7"/>
            <w:tcMar>
              <w:top w:w="95" w:type="dxa"/>
              <w:left w:w="133" w:type="dxa"/>
              <w:bottom w:w="95" w:type="dxa"/>
              <w:right w:w="133" w:type="dxa"/>
            </w:tcMar>
            <w:vAlign w:val="center"/>
          </w:tcPr>
          <w:p>
            <w:pPr>
              <w:keepNext/>
              <w:keepLines/>
              <w:pageBreakBefore w:val="0"/>
              <w:widowControl w:val="1"/>
              <w:spacing w:before="0" w:after="0" w:line="269" w:lineRule="auto"/>
            </w:pPr>
            <w:r>
              <w:rPr>
                <w:rFonts w:ascii="Calibri" w:hAnsi="Calibri" w:cs="Calibri" w:eastAsia="Calibri"/>
                <w:b/>
                <w:i w:val="0"/>
                <w:caps w:val="1"/>
                <w:color w:val="10192A"/>
                <w:spacing w:val="16"/>
                <w:sz w:val="15"/>
                <w:u w:val="none"/>
              </w:rPr>
              <w:t>Date of issue</w:t>
            </w:r>
          </w:p>
        </w:tc>
        <w:tc>
          <w:tcPr>
            <w:tcW w:type="dxa" w:w="3027"/>
            <w:tcBorders>
              <w:top w:val="single" w:sz="4" w:space="0" w:color="FFFFFF"/>
              <w:left w:val="nil"/>
              <w:bottom w:val="single" w:sz="4" w:space="0" w:color="DCE3ED"/>
              <w:right w:val="nil"/>
            </w:tcBorders>
            <w:shd w:val="clear" w:color="auto" w:fill="FFFFFF"/>
            <w:tcMar>
              <w:top w:w="95" w:type="dxa"/>
              <w:left w:w="133" w:type="dxa"/>
              <w:bottom w:w="95" w:type="dxa"/>
              <w:right w:w="133" w:type="dxa"/>
            </w:tcMar>
            <w:vAlign w:val="center"/>
          </w:tcPr>
          <w:p>
            <w:pPr>
              <w:keepNext/>
              <w:keepLines/>
              <w:pageBreakBefore w:val="0"/>
              <w:widowControl w:val="1"/>
              <w:spacing w:before="0" w:after="0" w:line="278" w:lineRule="auto"/>
            </w:pPr>
            <w:r>
              <w:rPr>
                <w:rFonts w:ascii="Calibri" w:hAnsi="Calibri" w:cs="Calibri" w:eastAsia="Calibri"/>
                <w:b w:val="0"/>
                <w:i w:val="0"/>
                <w:color w:val="10192A"/>
                <w:sz w:val="17"/>
                <w:u w:val="none"/>
              </w:rPr>
              <w:t>31 July 2026</w:t>
            </w: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5" w:type="dxa"/>
              <w:left w:w="133" w:type="dxa"/>
              <w:bottom w:w="95" w:type="dxa"/>
              <w:right w:w="13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Document reference</w:t>
            </w:r>
          </w:p>
        </w:tc>
        <w:tc>
          <w:tcPr>
            <w:tcW w:type="dxa" w:w="3027"/>
            <w:tcBorders>
              <w:top w:val="single" w:sz="4" w:space="0" w:color="FFFFFF"/>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APR-0418-01</w:t>
            </w:r>
          </w:p>
        </w:tc>
        <w:tc>
          <w:tcPr>
            <w:tcW w:type="dxa" w:w="2018"/>
            <w:tcBorders>
              <w:top w:val="single" w:sz="4" w:space="0" w:color="FFFFFF"/>
              <w:left w:val="nil"/>
              <w:bottom w:val="single" w:sz="4" w:space="0" w:color="FFFFFF"/>
              <w:right w:val="nil"/>
            </w:tcBorders>
            <w:shd w:val="clear" w:color="auto" w:fill="EDF1F7"/>
            <w:tcMar>
              <w:top w:w="95" w:type="dxa"/>
              <w:left w:w="133" w:type="dxa"/>
              <w:bottom w:w="95" w:type="dxa"/>
              <w:right w:w="13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Version</w:t>
            </w:r>
          </w:p>
        </w:tc>
        <w:tc>
          <w:tcPr>
            <w:tcW w:type="dxa" w:w="3027"/>
            <w:tcBorders>
              <w:top w:val="single" w:sz="4" w:space="0" w:color="FFFFFF"/>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1.0</w:t>
            </w:r>
          </w:p>
        </w:tc>
      </w:tr>
    </w:tbl>
    <w:p>
      <w:pPr>
        <w:keepNext w:val="0"/>
        <w:keepLines/>
        <w:pageBreakBefore w:val="1"/>
        <w:widowControl w:val="1"/>
        <w:spacing w:before="0" w:after="0" w:line="20" w:lineRule="exact"/>
        <w:rPr>
          <w:sz w:val="2"/>
        </w:rPr>
      </w:pP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964"/>
        <w:gridCol w:w="9128"/>
      </w:tblGrid>
      <w:tr>
        <w:trPr>
          <w:cantSplit/>
          <w:trHeight w:val="680" w:hRule="atLeast"/>
        </w:trPr>
        <w:tc>
          <w:tcPr>
            <w:tcW w:type="dxa" w:w="964"/>
            <w:shd w:val="clear" w:color="auto" w:fill="12B0CE"/>
            <w:tcMar>
              <w:top w:w="90" w:type="dxa"/>
              <w:left w:w="50" w:type="dxa"/>
              <w:bottom w:w="90" w:type="dxa"/>
              <w:right w:w="50" w:type="dxa"/>
            </w:tcMar>
            <w:vAlign w:val="center"/>
          </w:tcPr>
          <w:p>
            <w:pPr>
              <w:keepNext/>
              <w:keepLines/>
              <w:pageBreakBefore w:val="0"/>
              <w:widowControl w:val="1"/>
              <w:spacing w:before="0" w:after="0"/>
              <w:jc w:val="center"/>
            </w:pPr>
          </w:p>
        </w:tc>
        <w:tc>
          <w:tcPr>
            <w:tcW w:type="dxa" w:w="9128"/>
            <w:shd w:val="clear" w:color="auto" w:fill="0C2340"/>
            <w:tcMar>
              <w:top w:w="95" w:type="dxa"/>
              <w:left w:w="190" w:type="dxa"/>
              <w:bottom w:w="95" w:type="dxa"/>
              <w:right w:w="150" w:type="dxa"/>
            </w:tcMar>
            <w:vAlign w:val="center"/>
          </w:tcPr>
          <w:p>
            <w:pPr>
              <w:keepNext/>
              <w:keepLines/>
              <w:pageBreakBefore w:val="0"/>
              <w:widowControl w:val="1"/>
              <w:spacing w:before="0" w:after="0"/>
            </w:pPr>
            <w:r>
              <w:rPr>
                <w:rFonts w:ascii="Calibri" w:hAnsi="Calibri" w:cs="Calibri" w:eastAsia="Calibri"/>
                <w:b/>
                <w:i w:val="0"/>
                <w:caps w:val="1"/>
                <w:color w:val="FFFFFF"/>
                <w:spacing w:val="36"/>
                <w:sz w:val="25"/>
                <w:u w:val="none"/>
              </w:rPr>
              <w:t>Contents</w:t>
            </w:r>
          </w:p>
        </w:tc>
      </w:tr>
    </w:tbl>
    <w:p>
      <w:pPr>
        <w:keepNext w:val="1"/>
        <w:keepLines/>
        <w:pageBreakBefore w:val="0"/>
        <w:widowControl w:val="1"/>
        <w:spacing w:before="0" w:after="0" w:line="180" w:lineRule="exact"/>
      </w:pPr>
      <w:r>
        <w:rPr>
          <w:sz w:val="2"/>
        </w:rPr>
      </w:r>
    </w:p>
    <w:p>
      <w:pPr>
        <w:keepNext w:val="0"/>
        <w:keepLines/>
        <w:pageBreakBefore w:val="0"/>
        <w:widowControl w:val="1"/>
        <w:pBdr>
          <w:bottom w:val="single" w:sz="4" w:space="3" w:color="DCE3ED"/>
        </w:pBdr>
        <w:spacing w:before="0" w:after="120" w:line="288" w:lineRule="auto"/>
      </w:pPr>
      <w:r>
        <w:rPr>
          <w:rFonts w:ascii="Calibri" w:hAnsi="Calibri" w:cs="Calibri" w:eastAsia="Calibri"/>
          <w:b/>
          <w:i w:val="0"/>
          <w:color w:val="12B0CE"/>
          <w:sz w:val="19"/>
          <w:u w:val="none"/>
        </w:rPr>
        <w:t xml:space="preserve">01    </w:t>
      </w:r>
      <w:r>
        <w:rPr>
          <w:rFonts w:ascii="Calibri" w:hAnsi="Calibri" w:cs="Calibri" w:eastAsia="Calibri"/>
          <w:b w:val="0"/>
          <w:i w:val="0"/>
          <w:color w:val="10192A"/>
          <w:sz w:val="19"/>
          <w:u w:val="none"/>
        </w:rPr>
        <w:t>Executive summary</w:t>
      </w:r>
    </w:p>
    <w:p>
      <w:pPr>
        <w:keepNext w:val="0"/>
        <w:keepLines/>
        <w:pageBreakBefore w:val="0"/>
        <w:widowControl w:val="1"/>
        <w:pBdr>
          <w:bottom w:val="single" w:sz="4" w:space="3" w:color="DCE3ED"/>
        </w:pBdr>
        <w:spacing w:before="0" w:after="120" w:line="288" w:lineRule="auto"/>
      </w:pPr>
      <w:r>
        <w:rPr>
          <w:rFonts w:ascii="Calibri" w:hAnsi="Calibri" w:cs="Calibri" w:eastAsia="Calibri"/>
          <w:b/>
          <w:i w:val="0"/>
          <w:color w:val="12B0CE"/>
          <w:sz w:val="19"/>
          <w:u w:val="none"/>
        </w:rPr>
        <w:t xml:space="preserve">02    </w:t>
      </w:r>
      <w:r>
        <w:rPr>
          <w:rFonts w:ascii="Calibri" w:hAnsi="Calibri" w:cs="Calibri" w:eastAsia="Calibri"/>
          <w:b w:val="0"/>
          <w:i w:val="0"/>
          <w:color w:val="10192A"/>
          <w:sz w:val="19"/>
          <w:u w:val="none"/>
        </w:rPr>
        <w:t>Investment metrics</w:t>
      </w:r>
    </w:p>
    <w:p>
      <w:pPr>
        <w:keepNext w:val="0"/>
        <w:keepLines/>
        <w:pageBreakBefore w:val="0"/>
        <w:widowControl w:val="1"/>
        <w:pBdr>
          <w:bottom w:val="single" w:sz="4" w:space="3" w:color="DCE3ED"/>
        </w:pBdr>
        <w:spacing w:before="0" w:after="120" w:line="288" w:lineRule="auto"/>
      </w:pPr>
      <w:r>
        <w:rPr>
          <w:rFonts w:ascii="Calibri" w:hAnsi="Calibri" w:cs="Calibri" w:eastAsia="Calibri"/>
          <w:b/>
          <w:i w:val="0"/>
          <w:color w:val="12B0CE"/>
          <w:sz w:val="19"/>
          <w:u w:val="none"/>
        </w:rPr>
        <w:t xml:space="preserve">03    </w:t>
      </w:r>
      <w:r>
        <w:rPr>
          <w:rFonts w:ascii="Calibri" w:hAnsi="Calibri" w:cs="Calibri" w:eastAsia="Calibri"/>
          <w:b w:val="0"/>
          <w:i w:val="0"/>
          <w:color w:val="10192A"/>
          <w:sz w:val="19"/>
          <w:u w:val="none"/>
        </w:rPr>
        <w:t>Property overview</w:t>
      </w:r>
    </w:p>
    <w:p>
      <w:pPr>
        <w:keepNext w:val="0"/>
        <w:keepLines/>
        <w:pageBreakBefore w:val="0"/>
        <w:widowControl w:val="1"/>
        <w:pBdr>
          <w:bottom w:val="single" w:sz="4" w:space="3" w:color="DCE3ED"/>
        </w:pBdr>
        <w:spacing w:before="0" w:after="120" w:line="288" w:lineRule="auto"/>
      </w:pPr>
      <w:r>
        <w:rPr>
          <w:rFonts w:ascii="Calibri" w:hAnsi="Calibri" w:cs="Calibri" w:eastAsia="Calibri"/>
          <w:b/>
          <w:i w:val="0"/>
          <w:color w:val="12B0CE"/>
          <w:sz w:val="19"/>
          <w:u w:val="none"/>
        </w:rPr>
        <w:t xml:space="preserve">04    </w:t>
      </w:r>
      <w:r>
        <w:rPr>
          <w:rFonts w:ascii="Calibri" w:hAnsi="Calibri" w:cs="Calibri" w:eastAsia="Calibri"/>
          <w:b w:val="0"/>
          <w:i w:val="0"/>
          <w:color w:val="10192A"/>
          <w:sz w:val="19"/>
          <w:u w:val="none"/>
        </w:rPr>
        <w:t>Location &amp; amenity</w:t>
      </w:r>
    </w:p>
    <w:p>
      <w:pPr>
        <w:keepNext w:val="0"/>
        <w:keepLines/>
        <w:pageBreakBefore w:val="0"/>
        <w:widowControl w:val="1"/>
        <w:pBdr>
          <w:bottom w:val="single" w:sz="4" w:space="3" w:color="DCE3ED"/>
        </w:pBdr>
        <w:spacing w:before="0" w:after="120" w:line="288" w:lineRule="auto"/>
      </w:pPr>
      <w:r>
        <w:rPr>
          <w:rFonts w:ascii="Calibri" w:hAnsi="Calibri" w:cs="Calibri" w:eastAsia="Calibri"/>
          <w:b/>
          <w:i w:val="0"/>
          <w:color w:val="12B0CE"/>
          <w:sz w:val="19"/>
          <w:u w:val="none"/>
        </w:rPr>
        <w:t xml:space="preserve">05    </w:t>
      </w:r>
      <w:r>
        <w:rPr>
          <w:rFonts w:ascii="Calibri" w:hAnsi="Calibri" w:cs="Calibri" w:eastAsia="Calibri"/>
          <w:b w:val="0"/>
          <w:i w:val="0"/>
          <w:color w:val="10192A"/>
          <w:sz w:val="19"/>
          <w:u w:val="none"/>
        </w:rPr>
        <w:t>Financial analysis</w:t>
      </w:r>
    </w:p>
    <w:p>
      <w:pPr>
        <w:keepNext w:val="0"/>
        <w:keepLines/>
        <w:pageBreakBefore w:val="0"/>
        <w:widowControl w:val="1"/>
        <w:pBdr>
          <w:bottom w:val="single" w:sz="4" w:space="3" w:color="DCE3ED"/>
        </w:pBdr>
        <w:spacing w:before="0" w:after="120" w:line="288" w:lineRule="auto"/>
      </w:pPr>
      <w:r>
        <w:rPr>
          <w:rFonts w:ascii="Calibri" w:hAnsi="Calibri" w:cs="Calibri" w:eastAsia="Calibri"/>
          <w:b/>
          <w:i w:val="0"/>
          <w:color w:val="12B0CE"/>
          <w:sz w:val="19"/>
          <w:u w:val="none"/>
        </w:rPr>
        <w:t xml:space="preserve">06    </w:t>
      </w:r>
      <w:r>
        <w:rPr>
          <w:rFonts w:ascii="Calibri" w:hAnsi="Calibri" w:cs="Calibri" w:eastAsia="Calibri"/>
          <w:b w:val="0"/>
          <w:i w:val="0"/>
          <w:color w:val="10192A"/>
          <w:sz w:val="19"/>
          <w:u w:val="none"/>
        </w:rPr>
        <w:t>Cash-flow projection</w:t>
      </w:r>
    </w:p>
    <w:p>
      <w:pPr>
        <w:keepNext w:val="0"/>
        <w:keepLines/>
        <w:pageBreakBefore w:val="0"/>
        <w:widowControl w:val="1"/>
        <w:pBdr>
          <w:bottom w:val="single" w:sz="4" w:space="3" w:color="DCE3ED"/>
        </w:pBdr>
        <w:spacing w:before="0" w:after="120" w:line="288" w:lineRule="auto"/>
      </w:pPr>
      <w:r>
        <w:rPr>
          <w:rFonts w:ascii="Calibri" w:hAnsi="Calibri" w:cs="Calibri" w:eastAsia="Calibri"/>
          <w:b/>
          <w:i w:val="0"/>
          <w:color w:val="12B0CE"/>
          <w:sz w:val="19"/>
          <w:u w:val="none"/>
        </w:rPr>
        <w:t xml:space="preserve">07    </w:t>
      </w:r>
      <w:r>
        <w:rPr>
          <w:rFonts w:ascii="Calibri" w:hAnsi="Calibri" w:cs="Calibri" w:eastAsia="Calibri"/>
          <w:b w:val="0"/>
          <w:i w:val="0"/>
          <w:color w:val="10192A"/>
          <w:sz w:val="19"/>
          <w:u w:val="none"/>
        </w:rPr>
        <w:t>Comparable sales</w:t>
      </w:r>
    </w:p>
    <w:p>
      <w:pPr>
        <w:keepNext w:val="0"/>
        <w:keepLines/>
        <w:pageBreakBefore w:val="0"/>
        <w:widowControl w:val="1"/>
        <w:pBdr>
          <w:bottom w:val="single" w:sz="4" w:space="3" w:color="DCE3ED"/>
        </w:pBdr>
        <w:spacing w:before="0" w:after="120" w:line="288" w:lineRule="auto"/>
      </w:pPr>
      <w:r>
        <w:rPr>
          <w:rFonts w:ascii="Calibri" w:hAnsi="Calibri" w:cs="Calibri" w:eastAsia="Calibri"/>
          <w:b/>
          <w:i w:val="0"/>
          <w:color w:val="12B0CE"/>
          <w:sz w:val="19"/>
          <w:u w:val="none"/>
        </w:rPr>
        <w:t xml:space="preserve">08    </w:t>
      </w:r>
      <w:r>
        <w:rPr>
          <w:rFonts w:ascii="Calibri" w:hAnsi="Calibri" w:cs="Calibri" w:eastAsia="Calibri"/>
          <w:b w:val="0"/>
          <w:i w:val="0"/>
          <w:color w:val="10192A"/>
          <w:sz w:val="19"/>
          <w:u w:val="none"/>
        </w:rPr>
        <w:t>Risks &amp; mitigations</w:t>
      </w:r>
    </w:p>
    <w:p>
      <w:pPr>
        <w:keepNext w:val="0"/>
        <w:keepLines/>
        <w:pageBreakBefore w:val="0"/>
        <w:widowControl w:val="1"/>
        <w:pBdr>
          <w:bottom w:val="single" w:sz="4" w:space="3" w:color="DCE3ED"/>
        </w:pBdr>
        <w:spacing w:before="0" w:after="120" w:line="288" w:lineRule="auto"/>
      </w:pPr>
      <w:r>
        <w:rPr>
          <w:rFonts w:ascii="Calibri" w:hAnsi="Calibri" w:cs="Calibri" w:eastAsia="Calibri"/>
          <w:b/>
          <w:i w:val="0"/>
          <w:color w:val="12B0CE"/>
          <w:sz w:val="19"/>
          <w:u w:val="none"/>
        </w:rPr>
        <w:t xml:space="preserve">09    </w:t>
      </w:r>
      <w:r>
        <w:rPr>
          <w:rFonts w:ascii="Calibri" w:hAnsi="Calibri" w:cs="Calibri" w:eastAsia="Calibri"/>
          <w:b w:val="0"/>
          <w:i w:val="0"/>
          <w:color w:val="10192A"/>
          <w:sz w:val="19"/>
          <w:u w:val="none"/>
        </w:rPr>
        <w:t>Recommendation</w:t>
      </w:r>
    </w:p>
    <w:p>
      <w:pPr>
        <w:keepNext w:val="0"/>
        <w:keepLines/>
        <w:pageBreakBefore w:val="1"/>
        <w:widowControl w:val="1"/>
        <w:spacing w:before="0" w:after="0" w:line="20" w:lineRule="exact"/>
        <w:rPr>
          <w:sz w:val="2"/>
        </w:rPr>
      </w:pP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964"/>
        <w:gridCol w:w="9128"/>
      </w:tblGrid>
      <w:tr>
        <w:trPr>
          <w:cantSplit/>
          <w:trHeight w:val="680" w:hRule="atLeast"/>
        </w:trPr>
        <w:tc>
          <w:tcPr>
            <w:tcW w:type="dxa" w:w="964"/>
            <w:shd w:val="clear" w:color="auto" w:fill="12B0CE"/>
            <w:tcMar>
              <w:top w:w="90" w:type="dxa"/>
              <w:left w:w="50" w:type="dxa"/>
              <w:bottom w:w="90" w:type="dxa"/>
              <w:right w:w="50" w:type="dxa"/>
            </w:tcMar>
            <w:vAlign w:val="center"/>
          </w:tcPr>
          <w:p>
            <w:pPr>
              <w:keepNext/>
              <w:keepLines/>
              <w:pageBreakBefore w:val="0"/>
              <w:widowControl w:val="1"/>
              <w:spacing w:before="0" w:after="0"/>
              <w:jc w:val="center"/>
            </w:pPr>
            <w:r>
              <w:rPr>
                <w:rFonts w:ascii="Calibri" w:hAnsi="Calibri" w:cs="Calibri" w:eastAsia="Calibri"/>
                <w:b/>
                <w:i w:val="0"/>
                <w:color w:val="FFFFFF"/>
                <w:sz w:val="27"/>
                <w:u w:val="none"/>
              </w:rPr>
              <w:t>01</w:t>
            </w:r>
          </w:p>
        </w:tc>
        <w:tc>
          <w:tcPr>
            <w:tcW w:type="dxa" w:w="9128"/>
            <w:shd w:val="clear" w:color="auto" w:fill="0C2340"/>
            <w:tcMar>
              <w:top w:w="95" w:type="dxa"/>
              <w:left w:w="190" w:type="dxa"/>
              <w:bottom w:w="95" w:type="dxa"/>
              <w:right w:w="150" w:type="dxa"/>
            </w:tcMar>
            <w:vAlign w:val="center"/>
          </w:tcPr>
          <w:p>
            <w:pPr>
              <w:keepNext/>
              <w:keepLines/>
              <w:pageBreakBefore w:val="0"/>
              <w:widowControl w:val="1"/>
              <w:spacing w:before="0" w:after="20"/>
            </w:pPr>
            <w:r>
              <w:rPr>
                <w:rFonts w:ascii="Calibri" w:hAnsi="Calibri" w:cs="Calibri" w:eastAsia="Calibri"/>
                <w:b/>
                <w:i w:val="0"/>
                <w:caps w:val="1"/>
                <w:color w:val="FFFFFF"/>
                <w:spacing w:val="36"/>
                <w:sz w:val="25"/>
                <w:u w:val="none"/>
              </w:rPr>
              <w:t>Executive summary</w:t>
            </w:r>
          </w:p>
          <w:p>
            <w:pPr>
              <w:keepNext/>
              <w:keepLines/>
              <w:pageBreakBefore w:val="0"/>
              <w:widowControl w:val="1"/>
              <w:spacing w:before="0" w:after="0"/>
            </w:pPr>
            <w:r>
              <w:rPr>
                <w:rFonts w:ascii="Calibri" w:hAnsi="Calibri" w:cs="Calibri" w:eastAsia="Calibri"/>
                <w:b w:val="0"/>
                <w:i w:val="0"/>
                <w:caps w:val="1"/>
                <w:color w:val="12B0CE"/>
                <w:spacing w:val="22"/>
                <w:sz w:val="14"/>
                <w:u w:val="none"/>
              </w:rPr>
              <w:t>The case in brief</w:t>
            </w:r>
          </w:p>
        </w:tc>
      </w:tr>
    </w:tbl>
    <w:p>
      <w:pPr>
        <w:keepNext w:val="1"/>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4" w:space="0" w:color="DCE3ED"/>
              <w:left w:val="single" w:sz="18" w:space="0" w:color="12B0CE"/>
              <w:bottom w:val="single" w:sz="4" w:space="0" w:color="DCE3ED"/>
              <w:right w:val="single" w:sz="4" w:space="0" w:color="DCE3ED"/>
            </w:tcBorders>
            <w:shd w:val="clear" w:color="auto" w:fill="F7F9FC"/>
            <w:tcMar>
              <w:top w:w="171" w:type="dxa"/>
              <w:left w:w="199" w:type="dxa"/>
              <w:bottom w:w="171" w:type="dxa"/>
              <w:right w:w="199" w:type="dxa"/>
            </w:tcMar>
          </w:tcPr>
          <w:p>
            <w:pPr>
              <w:keepNext/>
              <w:keepLines/>
              <w:pageBreakBefore w:val="0"/>
              <w:widowControl w:val="1"/>
              <w:spacing w:before="0" w:after="80"/>
            </w:pPr>
            <w:r>
              <w:rPr>
                <w:rFonts w:ascii="Calibri" w:hAnsi="Calibri" w:cs="Calibri" w:eastAsia="Calibri"/>
                <w:b/>
                <w:i w:val="0"/>
                <w:caps w:val="1"/>
                <w:color w:val="12B0CE"/>
                <w:spacing w:val="28"/>
                <w:sz w:val="15"/>
                <w:u w:val="none"/>
              </w:rPr>
              <w:t>Executive summary</w:t>
            </w:r>
          </w:p>
          <w:p>
            <w:pPr>
              <w:keepNext/>
              <w:keepLines/>
              <w:pageBreakBefore w:val="0"/>
              <w:widowControl w:val="1"/>
              <w:spacing w:before="0" w:after="120" w:line="293" w:lineRule="auto"/>
            </w:pPr>
            <w:r>
              <w:rPr>
                <w:rFonts w:ascii="Calibri" w:hAnsi="Calibri" w:cs="Calibri" w:eastAsia="Calibri"/>
                <w:b/>
                <w:i w:val="0"/>
                <w:color w:val="0C2340"/>
                <w:sz w:val="23"/>
                <w:u w:val="none"/>
              </w:rPr>
              <w:t>The property meets the mandate on yield, holding cost and location, with two risks that are manageable.</w:t>
            </w:r>
          </w:p>
          <w:p>
            <w:pPr>
              <w:keepNext w:val="0"/>
              <w:keepLines/>
              <w:pageBreakBefore w:val="0"/>
              <w:widowControl w:val="1"/>
              <w:spacing w:before="0" w:after="0" w:line="317" w:lineRule="auto"/>
            </w:pPr>
            <w:r>
              <w:rPr>
                <w:rFonts w:ascii="Calibri" w:hAnsi="Calibri" w:cs="Calibri" w:eastAsia="Calibri"/>
                <w:b w:val="0"/>
                <w:i w:val="0"/>
                <w:color w:val="10192A"/>
                <w:sz w:val="19"/>
                <w:u w:val="none"/>
              </w:rPr>
              <w:t>The subject property is a three-bedroom freestanding house on 512m² in an established residential pocket 11km from the CBD. It presents in original but sound condition and has been continuously tenanted for the last four years.</w:t>
            </w:r>
          </w:p>
          <w:p>
            <w:pPr>
              <w:keepNext w:val="0"/>
              <w:keepLines/>
              <w:pageBreakBefore w:val="0"/>
              <w:widowControl w:val="1"/>
              <w:spacing w:before="100" w:after="0" w:line="317" w:lineRule="auto"/>
            </w:pPr>
            <w:r>
              <w:rPr>
                <w:rFonts w:ascii="Calibri" w:hAnsi="Calibri" w:cs="Calibri" w:eastAsia="Calibri"/>
                <w:b w:val="0"/>
                <w:i w:val="0"/>
                <w:color w:val="10192A"/>
                <w:sz w:val="19"/>
                <w:u w:val="none"/>
              </w:rPr>
              <w:t>On the assumptions set out in this report the property produces a gross yield of 4.6% and a first-year after-tax holding cost of $84 per week, which is within the budget agreed in the client brief. The suburb has recorded 6.1% compound annual growth over ten years against a metropolitan average of 5.4%.</w:t>
            </w:r>
          </w:p>
          <w:p>
            <w:pPr>
              <w:keepNext w:val="0"/>
              <w:keepLines/>
              <w:pageBreakBefore w:val="0"/>
              <w:widowControl w:val="1"/>
              <w:spacing w:before="100" w:after="0" w:line="317" w:lineRule="auto"/>
            </w:pPr>
            <w:r>
              <w:rPr>
                <w:rFonts w:ascii="Calibri" w:hAnsi="Calibri" w:cs="Calibri" w:eastAsia="Calibri"/>
                <w:b w:val="0"/>
                <w:i w:val="0"/>
                <w:color w:val="10192A"/>
                <w:sz w:val="19"/>
                <w:u w:val="none"/>
              </w:rPr>
              <w:t>Two matters require attention before exchange: the tenancy runs to a fixed term expiring in four months, and the building report identifies rising damp to the rear wall. Both are quantified in the risk section and neither is assessed as material to the recommendation.</w:t>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8"/>
                <w:sz w:val="15"/>
                <w:u w:val="none"/>
              </w:rPr>
              <w:t>What this means</w:t>
            </w:r>
          </w:p>
          <w:p>
            <w:pPr>
              <w:keepNext w:val="0"/>
              <w:keepLines/>
              <w:pageBreakBefore w:val="0"/>
              <w:widowControl w:val="1"/>
              <w:spacing w:before="0" w:after="0" w:line="317" w:lineRule="auto"/>
              <w:ind w:left="200" w:hanging="200"/>
            </w:pPr>
            <w:r>
              <w:rPr>
                <w:rFonts w:ascii="Calibri" w:hAnsi="Calibri" w:cs="Calibri" w:eastAsia="Calibri"/>
                <w:b/>
                <w:i w:val="0"/>
                <w:color w:val="12B0CE"/>
                <w:sz w:val="19"/>
                <w:u w:val="none"/>
              </w:rPr>
              <w:t xml:space="preserve">›  </w:t>
            </w:r>
            <w:r>
              <w:rPr>
                <w:rFonts w:ascii="Calibri" w:hAnsi="Calibri" w:cs="Calibri" w:eastAsia="Calibri"/>
                <w:b w:val="0"/>
                <w:i w:val="0"/>
                <w:color w:val="10192A"/>
                <w:sz w:val="19"/>
                <w:u w:val="none"/>
              </w:rPr>
              <w:t>Gross yield of 4.6% clears the 4.2% threshold in the client brief.</w:t>
            </w:r>
          </w:p>
          <w:p>
            <w:pPr>
              <w:keepNext w:val="0"/>
              <w:keepLines/>
              <w:pageBreakBefore w:val="0"/>
              <w:widowControl w:val="1"/>
              <w:spacing w:before="80" w:after="0" w:line="317" w:lineRule="auto"/>
              <w:ind w:left="200" w:hanging="200"/>
            </w:pPr>
            <w:r>
              <w:rPr>
                <w:rFonts w:ascii="Calibri" w:hAnsi="Calibri" w:cs="Calibri" w:eastAsia="Calibri"/>
                <w:b/>
                <w:i w:val="0"/>
                <w:color w:val="12B0CE"/>
                <w:sz w:val="19"/>
                <w:u w:val="none"/>
              </w:rPr>
              <w:t xml:space="preserve">›  </w:t>
            </w:r>
            <w:r>
              <w:rPr>
                <w:rFonts w:ascii="Calibri" w:hAnsi="Calibri" w:cs="Calibri" w:eastAsia="Calibri"/>
                <w:b w:val="0"/>
                <w:i w:val="0"/>
                <w:color w:val="10192A"/>
                <w:sz w:val="19"/>
                <w:u w:val="none"/>
              </w:rPr>
              <w:t>After-tax holding cost of $84/week is inside the agreed $150/week budget.</w:t>
            </w:r>
          </w:p>
          <w:p>
            <w:pPr>
              <w:keepNext w:val="0"/>
              <w:keepLines/>
              <w:pageBreakBefore w:val="0"/>
              <w:widowControl w:val="1"/>
              <w:spacing w:before="80" w:after="0" w:line="317" w:lineRule="auto"/>
              <w:ind w:left="200" w:hanging="200"/>
            </w:pPr>
            <w:r>
              <w:rPr>
                <w:rFonts w:ascii="Calibri" w:hAnsi="Calibri" w:cs="Calibri" w:eastAsia="Calibri"/>
                <w:b/>
                <w:i w:val="0"/>
                <w:color w:val="12B0CE"/>
                <w:sz w:val="19"/>
                <w:u w:val="none"/>
              </w:rPr>
              <w:t xml:space="preserve">›  </w:t>
            </w:r>
            <w:r>
              <w:rPr>
                <w:rFonts w:ascii="Calibri" w:hAnsi="Calibri" w:cs="Calibri" w:eastAsia="Calibri"/>
                <w:b w:val="0"/>
                <w:i w:val="0"/>
                <w:color w:val="10192A"/>
                <w:sz w:val="19"/>
                <w:u w:val="none"/>
              </w:rPr>
              <w:t>Rising damp remediation is estimated at $6,500 and should be negotiated.</w:t>
            </w:r>
          </w:p>
          <w:p>
            <w:pPr>
              <w:keepNext w:val="0"/>
              <w:keepLines/>
              <w:pageBreakBefore w:val="0"/>
              <w:widowControl w:val="1"/>
              <w:spacing w:before="80" w:after="0" w:line="317" w:lineRule="auto"/>
              <w:ind w:left="200" w:hanging="200"/>
            </w:pPr>
            <w:r>
              <w:rPr>
                <w:rFonts w:ascii="Calibri" w:hAnsi="Calibri" w:cs="Calibri" w:eastAsia="Calibri"/>
                <w:b/>
                <w:i w:val="0"/>
                <w:color w:val="12B0CE"/>
                <w:sz w:val="19"/>
                <w:u w:val="none"/>
              </w:rPr>
              <w:t xml:space="preserve">›  </w:t>
            </w:r>
            <w:r>
              <w:rPr>
                <w:rFonts w:ascii="Calibri" w:hAnsi="Calibri" w:cs="Calibri" w:eastAsia="Calibri"/>
                <w:b w:val="0"/>
                <w:i w:val="0"/>
                <w:color w:val="10192A"/>
                <w:sz w:val="19"/>
                <w:u w:val="none"/>
              </w:rPr>
              <w:t>Recommended maximum offer is $865,000.</w:t>
            </w:r>
          </w:p>
        </w:tc>
      </w:tr>
    </w:tbl>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964"/>
        <w:gridCol w:w="9128"/>
      </w:tblGrid>
      <w:tr>
        <w:trPr>
          <w:cantSplit/>
          <w:trHeight w:val="680" w:hRule="atLeast"/>
        </w:trPr>
        <w:tc>
          <w:tcPr>
            <w:tcW w:type="dxa" w:w="964"/>
            <w:shd w:val="clear" w:color="auto" w:fill="12B0CE"/>
            <w:tcMar>
              <w:top w:w="90" w:type="dxa"/>
              <w:left w:w="50" w:type="dxa"/>
              <w:bottom w:w="90" w:type="dxa"/>
              <w:right w:w="50" w:type="dxa"/>
            </w:tcMar>
            <w:vAlign w:val="center"/>
          </w:tcPr>
          <w:p>
            <w:pPr>
              <w:keepNext/>
              <w:keepLines/>
              <w:pageBreakBefore w:val="0"/>
              <w:widowControl w:val="1"/>
              <w:spacing w:before="0" w:after="0"/>
              <w:jc w:val="center"/>
            </w:pPr>
            <w:r>
              <w:rPr>
                <w:rFonts w:ascii="Calibri" w:hAnsi="Calibri" w:cs="Calibri" w:eastAsia="Calibri"/>
                <w:b/>
                <w:i w:val="0"/>
                <w:color w:val="FFFFFF"/>
                <w:sz w:val="27"/>
                <w:u w:val="none"/>
              </w:rPr>
              <w:t>02</w:t>
            </w:r>
          </w:p>
        </w:tc>
        <w:tc>
          <w:tcPr>
            <w:tcW w:type="dxa" w:w="9128"/>
            <w:shd w:val="clear" w:color="auto" w:fill="0C2340"/>
            <w:tcMar>
              <w:top w:w="95" w:type="dxa"/>
              <w:left w:w="190" w:type="dxa"/>
              <w:bottom w:w="95" w:type="dxa"/>
              <w:right w:w="150" w:type="dxa"/>
            </w:tcMar>
            <w:vAlign w:val="center"/>
          </w:tcPr>
          <w:p>
            <w:pPr>
              <w:keepNext/>
              <w:keepLines/>
              <w:pageBreakBefore w:val="0"/>
              <w:widowControl w:val="1"/>
              <w:spacing w:before="0" w:after="20"/>
            </w:pPr>
            <w:r>
              <w:rPr>
                <w:rFonts w:ascii="Calibri" w:hAnsi="Calibri" w:cs="Calibri" w:eastAsia="Calibri"/>
                <w:b/>
                <w:i w:val="0"/>
                <w:caps w:val="1"/>
                <w:color w:val="FFFFFF"/>
                <w:spacing w:val="36"/>
                <w:sz w:val="25"/>
                <w:u w:val="none"/>
              </w:rPr>
              <w:t>Investment metrics</w:t>
            </w:r>
          </w:p>
          <w:p>
            <w:pPr>
              <w:keepNext/>
              <w:keepLines/>
              <w:pageBreakBefore w:val="0"/>
              <w:widowControl w:val="1"/>
              <w:spacing w:before="0" w:after="0"/>
            </w:pPr>
            <w:r>
              <w:rPr>
                <w:rFonts w:ascii="Calibri" w:hAnsi="Calibri" w:cs="Calibri" w:eastAsia="Calibri"/>
                <w:b w:val="0"/>
                <w:i w:val="0"/>
                <w:caps w:val="1"/>
                <w:color w:val="12B0CE"/>
                <w:spacing w:val="22"/>
                <w:sz w:val="14"/>
                <w:u w:val="none"/>
              </w:rPr>
              <w:t>Headline position</w:t>
            </w:r>
          </w:p>
        </w:tc>
      </w:tr>
    </w:tbl>
    <w:p>
      <w:pPr>
        <w:keepNext w:val="1"/>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523"/>
        <w:gridCol w:w="2523"/>
        <w:gridCol w:w="2523"/>
        <w:gridCol w:w="2523"/>
      </w:tblGrid>
      <w:tr>
        <w:trPr>
          <w:cantSplit/>
        </w:trPr>
        <w:tc>
          <w:tcPr>
            <w:tcW w:type="dxa" w:w="2523"/>
            <w:tcBorders>
              <w:right w:val="single" w:sz="24" w:space="0" w:color="FFFFFF"/>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2B0CE"/>
                <w:spacing w:val="28"/>
                <w:sz w:val="14"/>
                <w:u w:val="none"/>
              </w:rPr>
              <w:t>PURCHASE PRICE</w:t>
            </w:r>
          </w:p>
        </w:tc>
        <w:tc>
          <w:tcPr>
            <w:tcW w:type="dxa" w:w="2523"/>
            <w:tcBorders>
              <w:right w:val="single" w:sz="24" w:space="0" w:color="FFFFFF"/>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2B0CE"/>
                <w:spacing w:val="28"/>
                <w:sz w:val="14"/>
                <w:u w:val="none"/>
              </w:rPr>
              <w:t>GROSS YIELD</w:t>
            </w:r>
          </w:p>
        </w:tc>
        <w:tc>
          <w:tcPr>
            <w:tcW w:type="dxa" w:w="2523"/>
            <w:tcBorders>
              <w:right w:val="single" w:sz="24" w:space="0" w:color="FFFFFF"/>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2B0CE"/>
                <w:spacing w:val="28"/>
                <w:sz w:val="14"/>
                <w:u w:val="none"/>
              </w:rPr>
              <w:t>WEEKLY RENT</w:t>
            </w:r>
          </w:p>
        </w:tc>
        <w:tc>
          <w:tcPr>
            <w:tcW w:type="dxa" w:w="2523"/>
            <w:tcBorders>
              <w:right w:val="nil"/>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2B0CE"/>
                <w:spacing w:val="28"/>
                <w:sz w:val="14"/>
                <w:u w:val="none"/>
              </w:rPr>
              <w:t>CASH REQUIRED</w:t>
            </w:r>
          </w:p>
        </w:tc>
      </w:tr>
      <w:tr>
        <w:trPr>
          <w:cantSplit/>
        </w:trPr>
        <w:tc>
          <w:tcPr>
            <w:tcW w:type="dxa" w:w="2523"/>
            <w:tcBorders>
              <w:bottom w:val="single" w:sz="8" w:space="0" w:color="12B0CE"/>
              <w:right w:val="single" w:sz="24" w:space="0" w:color="FFFFFF"/>
            </w:tcBorders>
            <w:shd w:val="clear" w:color="auto" w:fill="EEFAFC"/>
            <w:tcMar>
              <w:top w:w="110" w:type="dxa"/>
              <w:left w:w="120" w:type="dxa"/>
              <w:bottom w:w="110" w:type="dxa"/>
              <w:right w:w="120" w:type="dxa"/>
            </w:tcMar>
          </w:tcPr>
          <w:p>
            <w:pPr>
              <w:keepNext w:val="0"/>
              <w:keepLines/>
              <w:pageBreakBefore w:val="0"/>
              <w:widowControl w:val="1"/>
              <w:spacing w:before="0" w:after="0" w:line="252" w:lineRule="auto"/>
            </w:pPr>
            <w:r>
              <w:rPr>
                <w:rFonts w:ascii="Calibri" w:hAnsi="Calibri" w:cs="Calibri" w:eastAsia="Calibri"/>
                <w:b/>
                <w:i w:val="0"/>
                <w:color w:val="0C2340"/>
                <w:sz w:val="32"/>
                <w:u w:val="none"/>
              </w:rPr>
              <w:t>$865,000</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Recommended maximum</w:t>
            </w:r>
          </w:p>
        </w:tc>
        <w:tc>
          <w:tcPr>
            <w:tcW w:type="dxa" w:w="2523"/>
            <w:tcBorders>
              <w:bottom w:val="single" w:sz="8" w:space="0" w:color="12B0CE"/>
              <w:right w:val="single" w:sz="24" w:space="0" w:color="FFFFFF"/>
            </w:tcBorders>
            <w:shd w:val="clear" w:color="auto" w:fill="EEFAFC"/>
            <w:tcMar>
              <w:top w:w="110" w:type="dxa"/>
              <w:left w:w="120" w:type="dxa"/>
              <w:bottom w:w="110" w:type="dxa"/>
              <w:right w:w="120" w:type="dxa"/>
            </w:tcMar>
          </w:tcPr>
          <w:p>
            <w:pPr>
              <w:keepNext w:val="0"/>
              <w:keepLines/>
              <w:pageBreakBefore w:val="0"/>
              <w:widowControl w:val="1"/>
              <w:spacing w:before="0" w:after="0" w:line="252" w:lineRule="auto"/>
            </w:pPr>
            <w:r>
              <w:rPr>
                <w:rFonts w:ascii="Calibri" w:hAnsi="Calibri" w:cs="Calibri" w:eastAsia="Calibri"/>
                <w:b/>
                <w:i w:val="0"/>
                <w:color w:val="0C2340"/>
                <w:sz w:val="32"/>
                <w:u w:val="none"/>
              </w:rPr>
              <w:t>4.6%</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On appraised rent</w:t>
            </w:r>
          </w:p>
        </w:tc>
        <w:tc>
          <w:tcPr>
            <w:tcW w:type="dxa" w:w="2523"/>
            <w:tcBorders>
              <w:bottom w:val="single" w:sz="8" w:space="0" w:color="12B0CE"/>
              <w:right w:val="single" w:sz="24" w:space="0" w:color="FFFFFF"/>
            </w:tcBorders>
            <w:shd w:val="clear" w:color="auto" w:fill="EEFAFC"/>
            <w:tcMar>
              <w:top w:w="110" w:type="dxa"/>
              <w:left w:w="120" w:type="dxa"/>
              <w:bottom w:w="110" w:type="dxa"/>
              <w:right w:w="120" w:type="dxa"/>
            </w:tcMar>
          </w:tcPr>
          <w:p>
            <w:pPr>
              <w:keepNext w:val="0"/>
              <w:keepLines/>
              <w:pageBreakBefore w:val="0"/>
              <w:widowControl w:val="1"/>
              <w:spacing w:before="0" w:after="0" w:line="252" w:lineRule="auto"/>
            </w:pPr>
            <w:r>
              <w:rPr>
                <w:rFonts w:ascii="Calibri" w:hAnsi="Calibri" w:cs="Calibri" w:eastAsia="Calibri"/>
                <w:b/>
                <w:i w:val="0"/>
                <w:color w:val="0C2340"/>
                <w:sz w:val="32"/>
                <w:u w:val="none"/>
              </w:rPr>
              <w:t>$765</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Appraised range $750–780</w:t>
            </w:r>
          </w:p>
        </w:tc>
        <w:tc>
          <w:tcPr>
            <w:tcW w:type="dxa" w:w="2523"/>
            <w:tcBorders>
              <w:bottom w:val="single" w:sz="8" w:space="0" w:color="12B0CE"/>
              <w:right w:val="nil"/>
            </w:tcBorders>
            <w:shd w:val="clear" w:color="auto" w:fill="EEFAFC"/>
            <w:tcMar>
              <w:top w:w="110" w:type="dxa"/>
              <w:left w:w="120" w:type="dxa"/>
              <w:bottom w:w="110" w:type="dxa"/>
              <w:right w:w="120" w:type="dxa"/>
            </w:tcMar>
          </w:tcPr>
          <w:p>
            <w:pPr>
              <w:keepNext w:val="0"/>
              <w:keepLines/>
              <w:pageBreakBefore w:val="0"/>
              <w:widowControl w:val="1"/>
              <w:spacing w:before="0" w:after="0" w:line="252" w:lineRule="auto"/>
            </w:pPr>
            <w:r>
              <w:rPr>
                <w:rFonts w:ascii="Calibri" w:hAnsi="Calibri" w:cs="Calibri" w:eastAsia="Calibri"/>
                <w:b/>
                <w:i w:val="0"/>
                <w:color w:val="0C2340"/>
                <w:sz w:val="32"/>
                <w:u w:val="none"/>
              </w:rPr>
              <w:t>$212,400</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Incl. costs, 20% deposit</w:t>
            </w:r>
          </w:p>
        </w:tc>
      </w:tr>
    </w:tbl>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964"/>
        <w:gridCol w:w="9128"/>
      </w:tblGrid>
      <w:tr>
        <w:trPr>
          <w:cantSplit/>
          <w:trHeight w:val="680" w:hRule="atLeast"/>
        </w:trPr>
        <w:tc>
          <w:tcPr>
            <w:tcW w:type="dxa" w:w="964"/>
            <w:shd w:val="clear" w:color="auto" w:fill="12B0CE"/>
            <w:tcMar>
              <w:top w:w="90" w:type="dxa"/>
              <w:left w:w="50" w:type="dxa"/>
              <w:bottom w:w="90" w:type="dxa"/>
              <w:right w:w="50" w:type="dxa"/>
            </w:tcMar>
            <w:vAlign w:val="center"/>
          </w:tcPr>
          <w:p>
            <w:pPr>
              <w:keepNext/>
              <w:keepLines/>
              <w:pageBreakBefore w:val="0"/>
              <w:widowControl w:val="1"/>
              <w:spacing w:before="0" w:after="0"/>
              <w:jc w:val="center"/>
            </w:pPr>
            <w:r>
              <w:rPr>
                <w:rFonts w:ascii="Calibri" w:hAnsi="Calibri" w:cs="Calibri" w:eastAsia="Calibri"/>
                <w:b/>
                <w:i w:val="0"/>
                <w:color w:val="FFFFFF"/>
                <w:sz w:val="27"/>
                <w:u w:val="none"/>
              </w:rPr>
              <w:t>03</w:t>
            </w:r>
          </w:p>
        </w:tc>
        <w:tc>
          <w:tcPr>
            <w:tcW w:type="dxa" w:w="9128"/>
            <w:shd w:val="clear" w:color="auto" w:fill="0C2340"/>
            <w:tcMar>
              <w:top w:w="95" w:type="dxa"/>
              <w:left w:w="190" w:type="dxa"/>
              <w:bottom w:w="95" w:type="dxa"/>
              <w:right w:w="150" w:type="dxa"/>
            </w:tcMar>
            <w:vAlign w:val="center"/>
          </w:tcPr>
          <w:p>
            <w:pPr>
              <w:keepNext/>
              <w:keepLines/>
              <w:pageBreakBefore w:val="0"/>
              <w:widowControl w:val="1"/>
              <w:spacing w:before="0" w:after="20"/>
            </w:pPr>
            <w:r>
              <w:rPr>
                <w:rFonts w:ascii="Calibri" w:hAnsi="Calibri" w:cs="Calibri" w:eastAsia="Calibri"/>
                <w:b/>
                <w:i w:val="0"/>
                <w:caps w:val="1"/>
                <w:color w:val="FFFFFF"/>
                <w:spacing w:val="36"/>
                <w:sz w:val="25"/>
                <w:u w:val="none"/>
              </w:rPr>
              <w:t>Property overview</w:t>
            </w:r>
          </w:p>
          <w:p>
            <w:pPr>
              <w:keepNext/>
              <w:keepLines/>
              <w:pageBreakBefore w:val="0"/>
              <w:widowControl w:val="1"/>
              <w:spacing w:before="0" w:after="0"/>
            </w:pPr>
            <w:r>
              <w:rPr>
                <w:rFonts w:ascii="Calibri" w:hAnsi="Calibri" w:cs="Calibri" w:eastAsia="Calibri"/>
                <w:b w:val="0"/>
                <w:i w:val="0"/>
                <w:caps w:val="1"/>
                <w:color w:val="12B0CE"/>
                <w:spacing w:val="22"/>
                <w:sz w:val="14"/>
                <w:u w:val="none"/>
              </w:rPr>
              <w:t>The asset</w:t>
            </w:r>
          </w:p>
        </w:tc>
      </w:tr>
    </w:tbl>
    <w:p>
      <w:pPr>
        <w:keepNext w:val="1"/>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4" w:space="0" w:color="DCE3ED"/>
              <w:left w:val="single" w:sz="18" w:space="0" w:color="12B0CE"/>
              <w:bottom w:val="single" w:sz="4" w:space="0" w:color="DCE3ED"/>
              <w:right w:val="single" w:sz="4" w:space="0" w:color="DCE3ED"/>
            </w:tcBorders>
            <w:shd w:val="clear" w:color="auto" w:fill="F7F9FC"/>
            <w:tcMar>
              <w:top w:w="171" w:type="dxa"/>
              <w:left w:w="199" w:type="dxa"/>
              <w:bottom w:w="171" w:type="dxa"/>
              <w:right w:w="199" w:type="dxa"/>
            </w:tcMar>
          </w:tcPr>
          <w:p>
            <w:pPr>
              <w:keepNext/>
              <w:keepLines/>
              <w:pageBreakBefore w:val="0"/>
              <w:widowControl w:val="1"/>
              <w:spacing w:before="0" w:after="80"/>
            </w:pPr>
            <w:r>
              <w:rPr>
                <w:rFonts w:ascii="Calibri" w:hAnsi="Calibri" w:cs="Calibri" w:eastAsia="Calibri"/>
                <w:b/>
                <w:i w:val="0"/>
                <w:caps w:val="1"/>
                <w:color w:val="12B0CE"/>
                <w:spacing w:val="28"/>
                <w:sz w:val="15"/>
                <w:u w:val="none"/>
              </w:rPr>
              <w:t>Property particulars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923"/>
              <w:gridCol w:w="2884"/>
              <w:gridCol w:w="1923"/>
              <w:gridCol w:w="2884"/>
            </w:tblGrid>
            <w:tr>
              <w:trPr>
                <w:cantSplit/>
                <w:trHeight w:val="431" w:hRule="atLeast"/>
              </w:trPr>
              <w:tc>
                <w:tcPr>
                  <w:tcW w:type="dxa" w:w="1923"/>
                  <w:tcBorders>
                    <w:top w:val="single" w:sz="4" w:space="0" w:color="FFFFFF"/>
                    <w:left w:val="nil"/>
                    <w:bottom w:val="single" w:sz="4" w:space="0" w:color="FFFFFF"/>
                    <w:right w:val="nil"/>
                  </w:tcBorders>
                  <w:shd w:val="clear" w:color="auto" w:fill="EDF1F7"/>
                  <w:tcMar>
                    <w:top w:w="95" w:type="dxa"/>
                    <w:left w:w="133" w:type="dxa"/>
                    <w:bottom w:w="95" w:type="dxa"/>
                    <w:right w:w="13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Address</w:t>
                  </w:r>
                </w:p>
              </w:tc>
              <w:tc>
                <w:tcPr>
                  <w:tcW w:type="dxa" w:w="2884"/>
                  <w:tcBorders>
                    <w:top w:val="single" w:sz="4" w:space="0" w:color="FFFFFF"/>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12 Example Street, Northbridge NSW 2063</w:t>
                  </w:r>
                </w:p>
              </w:tc>
              <w:tc>
                <w:tcPr>
                  <w:tcW w:type="dxa" w:w="1923"/>
                  <w:tcBorders>
                    <w:top w:val="single" w:sz="4" w:space="0" w:color="FFFFFF"/>
                    <w:left w:val="nil"/>
                    <w:bottom w:val="single" w:sz="4" w:space="0" w:color="FFFFFF"/>
                    <w:right w:val="nil"/>
                  </w:tcBorders>
                  <w:shd w:val="clear" w:color="auto" w:fill="EDF1F7"/>
                  <w:tcMar>
                    <w:top w:w="95" w:type="dxa"/>
                    <w:left w:w="133" w:type="dxa"/>
                    <w:bottom w:w="95" w:type="dxa"/>
                    <w:right w:w="13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Property type</w:t>
                  </w:r>
                </w:p>
              </w:tc>
              <w:tc>
                <w:tcPr>
                  <w:tcW w:type="dxa" w:w="2884"/>
                  <w:tcBorders>
                    <w:top w:val="single" w:sz="4" w:space="0" w:color="FFFFFF"/>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Freestanding house</w:t>
                  </w:r>
                </w:p>
              </w:tc>
            </w:tr>
            <w:tr>
              <w:trPr>
                <w:cantSplit/>
                <w:trHeight w:val="431" w:hRule="atLeast"/>
              </w:trPr>
              <w:tc>
                <w:tcPr>
                  <w:tcW w:type="dxa" w:w="1923"/>
                  <w:tcBorders>
                    <w:top w:val="single" w:sz="4" w:space="0" w:color="FFFFFF"/>
                    <w:left w:val="nil"/>
                    <w:bottom w:val="single" w:sz="4" w:space="0" w:color="FFFFFF"/>
                    <w:right w:val="nil"/>
                  </w:tcBorders>
                  <w:shd w:val="clear" w:color="auto" w:fill="EDF1F7"/>
                  <w:tcMar>
                    <w:top w:w="95" w:type="dxa"/>
                    <w:left w:w="133" w:type="dxa"/>
                    <w:bottom w:w="95" w:type="dxa"/>
                    <w:right w:w="13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Land area</w:t>
                  </w:r>
                </w:p>
              </w:tc>
              <w:tc>
                <w:tcPr>
                  <w:tcW w:type="dxa" w:w="2884"/>
                  <w:tcBorders>
                    <w:top w:val="single" w:sz="4" w:space="0" w:color="FFFFFF"/>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512 m²</w:t>
                  </w:r>
                </w:p>
              </w:tc>
              <w:tc>
                <w:tcPr>
                  <w:tcW w:type="dxa" w:w="1923"/>
                  <w:tcBorders>
                    <w:top w:val="single" w:sz="4" w:space="0" w:color="FFFFFF"/>
                    <w:left w:val="nil"/>
                    <w:bottom w:val="single" w:sz="4" w:space="0" w:color="FFFFFF"/>
                    <w:right w:val="nil"/>
                  </w:tcBorders>
                  <w:shd w:val="clear" w:color="auto" w:fill="EDF1F7"/>
                  <w:tcMar>
                    <w:top w:w="95" w:type="dxa"/>
                    <w:left w:w="133" w:type="dxa"/>
                    <w:bottom w:w="95" w:type="dxa"/>
                    <w:right w:w="13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Building area</w:t>
                  </w:r>
                </w:p>
              </w:tc>
              <w:tc>
                <w:tcPr>
                  <w:tcW w:type="dxa" w:w="2884"/>
                  <w:tcBorders>
                    <w:top w:val="single" w:sz="4" w:space="0" w:color="FFFFFF"/>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148 m²</w:t>
                  </w:r>
                </w:p>
              </w:tc>
            </w:tr>
            <w:tr>
              <w:trPr>
                <w:cantSplit/>
                <w:trHeight w:val="431" w:hRule="atLeast"/>
              </w:trPr>
              <w:tc>
                <w:tcPr>
                  <w:tcW w:type="dxa" w:w="1923"/>
                  <w:tcBorders>
                    <w:top w:val="single" w:sz="4" w:space="0" w:color="FFFFFF"/>
                    <w:left w:val="nil"/>
                    <w:bottom w:val="single" w:sz="4" w:space="0" w:color="FFFFFF"/>
                    <w:right w:val="nil"/>
                  </w:tcBorders>
                  <w:shd w:val="clear" w:color="auto" w:fill="EDF1F7"/>
                  <w:tcMar>
                    <w:top w:w="95" w:type="dxa"/>
                    <w:left w:w="133" w:type="dxa"/>
                    <w:bottom w:w="95" w:type="dxa"/>
                    <w:right w:w="13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Bedrooms / bathrooms</w:t>
                  </w:r>
                </w:p>
              </w:tc>
              <w:tc>
                <w:tcPr>
                  <w:tcW w:type="dxa" w:w="2884"/>
                  <w:tcBorders>
                    <w:top w:val="single" w:sz="4" w:space="0" w:color="FFFFFF"/>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3 / 1</w:t>
                  </w:r>
                </w:p>
              </w:tc>
              <w:tc>
                <w:tcPr>
                  <w:tcW w:type="dxa" w:w="1923"/>
                  <w:tcBorders>
                    <w:top w:val="single" w:sz="4" w:space="0" w:color="FFFFFF"/>
                    <w:left w:val="nil"/>
                    <w:bottom w:val="single" w:sz="4" w:space="0" w:color="FFFFFF"/>
                    <w:right w:val="nil"/>
                  </w:tcBorders>
                  <w:shd w:val="clear" w:color="auto" w:fill="EDF1F7"/>
                  <w:tcMar>
                    <w:top w:w="95" w:type="dxa"/>
                    <w:left w:w="133" w:type="dxa"/>
                    <w:bottom w:w="95" w:type="dxa"/>
                    <w:right w:w="13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Car spaces</w:t>
                  </w:r>
                </w:p>
              </w:tc>
              <w:tc>
                <w:tcPr>
                  <w:tcW w:type="dxa" w:w="2884"/>
                  <w:tcBorders>
                    <w:top w:val="single" w:sz="4" w:space="0" w:color="FFFFFF"/>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2 (lock-up garage)</w:t>
                  </w:r>
                </w:p>
              </w:tc>
            </w:tr>
            <w:tr>
              <w:trPr>
                <w:cantSplit/>
                <w:trHeight w:val="431" w:hRule="atLeast"/>
              </w:trPr>
              <w:tc>
                <w:tcPr>
                  <w:tcW w:type="dxa" w:w="1923"/>
                  <w:tcBorders>
                    <w:top w:val="single" w:sz="4" w:space="0" w:color="FFFFFF"/>
                    <w:left w:val="nil"/>
                    <w:bottom w:val="single" w:sz="4" w:space="0" w:color="FFFFFF"/>
                    <w:right w:val="nil"/>
                  </w:tcBorders>
                  <w:shd w:val="clear" w:color="auto" w:fill="EDF1F7"/>
                  <w:tcMar>
                    <w:top w:w="95" w:type="dxa"/>
                    <w:left w:w="133" w:type="dxa"/>
                    <w:bottom w:w="95" w:type="dxa"/>
                    <w:right w:w="13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Year built</w:t>
                  </w:r>
                </w:p>
              </w:tc>
              <w:tc>
                <w:tcPr>
                  <w:tcW w:type="dxa" w:w="2884"/>
                  <w:tcBorders>
                    <w:top w:val="single" w:sz="4" w:space="0" w:color="FFFFFF"/>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1968</w:t>
                  </w:r>
                </w:p>
              </w:tc>
              <w:tc>
                <w:tcPr>
                  <w:tcW w:type="dxa" w:w="1923"/>
                  <w:tcBorders>
                    <w:top w:val="single" w:sz="4" w:space="0" w:color="FFFFFF"/>
                    <w:left w:val="nil"/>
                    <w:bottom w:val="single" w:sz="4" w:space="0" w:color="FFFFFF"/>
                    <w:right w:val="nil"/>
                  </w:tcBorders>
                  <w:shd w:val="clear" w:color="auto" w:fill="EDF1F7"/>
                  <w:tcMar>
                    <w:top w:w="95" w:type="dxa"/>
                    <w:left w:w="133" w:type="dxa"/>
                    <w:bottom w:w="95" w:type="dxa"/>
                    <w:right w:w="13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Zoning</w:t>
                  </w:r>
                </w:p>
              </w:tc>
              <w:tc>
                <w:tcPr>
                  <w:tcW w:type="dxa" w:w="2884"/>
                  <w:tcBorders>
                    <w:top w:val="single" w:sz="4" w:space="0" w:color="FFFFFF"/>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R2 Low Density Residential</w:t>
                  </w:r>
                </w:p>
              </w:tc>
            </w:tr>
            <w:tr>
              <w:trPr>
                <w:cantSplit/>
                <w:trHeight w:val="431" w:hRule="atLeast"/>
              </w:trPr>
              <w:tc>
                <w:tcPr>
                  <w:tcW w:type="dxa" w:w="1923"/>
                  <w:tcBorders>
                    <w:top w:val="single" w:sz="4" w:space="0" w:color="FFFFFF"/>
                    <w:left w:val="nil"/>
                    <w:bottom w:val="single" w:sz="4" w:space="0" w:color="FFFFFF"/>
                    <w:right w:val="nil"/>
                  </w:tcBorders>
                  <w:shd w:val="clear" w:color="auto" w:fill="EDF1F7"/>
                  <w:tcMar>
                    <w:top w:w="95" w:type="dxa"/>
                    <w:left w:w="133" w:type="dxa"/>
                    <w:bottom w:w="95" w:type="dxa"/>
                    <w:right w:w="13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Current tenancy</w:t>
                  </w:r>
                </w:p>
              </w:tc>
              <w:tc>
                <w:tcPr>
                  <w:tcW w:type="dxa" w:w="2884"/>
                  <w:tcBorders>
                    <w:top w:val="single" w:sz="4" w:space="0" w:color="FFFFFF"/>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Fixed term to 14/11/2026 at $740/week</w:t>
                  </w:r>
                </w:p>
              </w:tc>
              <w:tc>
                <w:tcPr>
                  <w:tcW w:type="dxa" w:w="1923"/>
                  <w:tcBorders>
                    <w:top w:val="single" w:sz="4" w:space="0" w:color="FFFFFF"/>
                    <w:left w:val="nil"/>
                    <w:bottom w:val="single" w:sz="4" w:space="0" w:color="FFFFFF"/>
                    <w:right w:val="nil"/>
                  </w:tcBorders>
                  <w:shd w:val="clear" w:color="auto" w:fill="EDF1F7"/>
                  <w:tcMar>
                    <w:top w:w="95" w:type="dxa"/>
                    <w:left w:w="133" w:type="dxa"/>
                    <w:bottom w:w="95" w:type="dxa"/>
                    <w:right w:w="13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Condition</w:t>
                  </w:r>
                </w:p>
              </w:tc>
              <w:tc>
                <w:tcPr>
                  <w:tcW w:type="dxa" w:w="2884"/>
                  <w:tcBorders>
                    <w:top w:val="single" w:sz="4" w:space="0" w:color="FFFFFF"/>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Original, structurally sound</w:t>
                  </w:r>
                </w:p>
              </w:tc>
            </w:tr>
          </w:tbl>
          <w:p/>
        </w:tc>
      </w:tr>
    </w:tbl>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4961"/>
        <w:gridCol w:w="170"/>
        <w:gridCol w:w="4961"/>
      </w:tblGrid>
      <w:tr>
        <w:trPr>
          <w:cantSplit/>
          <w:trHeight w:val="2494" w:hRule="atLeast"/>
        </w:trPr>
        <w:tc>
          <w:tcPr>
            <w:tcW w:type="dxa" w:w="4961"/>
            <w:tcBorders>
              <w:top w:val="single" w:sz="4" w:space="0" w:color="C2CDDC"/>
              <w:left w:val="single" w:sz="4" w:space="0" w:color="C2CDDC"/>
              <w:bottom w:val="single" w:sz="4" w:space="0" w:color="C2CDDC"/>
              <w:right w:val="single" w:sz="4" w:space="0" w:color="C2CDDC"/>
            </w:tcBorders>
            <w:shd w:val="clear" w:color="auto" w:fill="EDF1F7"/>
            <w:tcMar>
              <w:top w:w="100" w:type="dxa"/>
              <w:left w:w="100" w:type="dxa"/>
              <w:bottom w:w="100" w:type="dxa"/>
              <w:right w:w="100" w:type="dxa"/>
            </w:tcMar>
            <w:vAlign w:val="center"/>
          </w:tcPr>
          <w:p>
            <w:pPr>
              <w:keepNext w:val="0"/>
              <w:keepLines/>
              <w:pageBreakBefore w:val="0"/>
              <w:widowControl w:val="1"/>
              <w:spacing w:before="0" w:after="0"/>
              <w:jc w:val="center"/>
            </w:pPr>
            <w:r>
              <w:rPr>
                <w:rFonts w:ascii="Calibri" w:hAnsi="Calibri" w:cs="Calibri" w:eastAsia="Calibri"/>
                <w:b/>
                <w:i w:val="0"/>
                <w:caps w:val="1"/>
                <w:color w:val="8493A8"/>
                <w:spacing w:val="28"/>
                <w:sz w:val="14"/>
                <w:u w:val="none"/>
              </w:rPr>
              <w:t>[  IMAGE 1  ]</w:t>
            </w:r>
          </w:p>
          <w:p>
            <w:pPr>
              <w:keepNext w:val="0"/>
              <w:keepLines/>
              <w:pageBreakBefore w:val="0"/>
              <w:widowControl w:val="1"/>
              <w:spacing w:before="60" w:after="0"/>
              <w:jc w:val="center"/>
            </w:pPr>
            <w:r>
              <w:rPr>
                <w:rFonts w:ascii="Calibri" w:hAnsi="Calibri" w:cs="Calibri" w:eastAsia="Calibri"/>
                <w:b w:val="0"/>
                <w:i/>
                <w:color w:val="8493A8"/>
                <w:sz w:val="14"/>
                <w:u w:val="none"/>
              </w:rPr>
              <w:t>Street elevation</w:t>
            </w:r>
          </w:p>
        </w:tc>
        <w:tc>
          <w:tcPr>
            <w:tcW w:type="dxa" w:w="170"/>
          </w:tcPr>
          <w:p/>
        </w:tc>
        <w:tc>
          <w:tcPr>
            <w:tcW w:type="dxa" w:w="4961"/>
            <w:tcBorders>
              <w:top w:val="single" w:sz="4" w:space="0" w:color="C2CDDC"/>
              <w:left w:val="single" w:sz="4" w:space="0" w:color="C2CDDC"/>
              <w:bottom w:val="single" w:sz="4" w:space="0" w:color="C2CDDC"/>
              <w:right w:val="single" w:sz="4" w:space="0" w:color="C2CDDC"/>
            </w:tcBorders>
            <w:shd w:val="clear" w:color="auto" w:fill="EDF1F7"/>
            <w:tcMar>
              <w:top w:w="100" w:type="dxa"/>
              <w:left w:w="100" w:type="dxa"/>
              <w:bottom w:w="100" w:type="dxa"/>
              <w:right w:w="100" w:type="dxa"/>
            </w:tcMar>
            <w:vAlign w:val="center"/>
          </w:tcPr>
          <w:p>
            <w:pPr>
              <w:keepNext w:val="0"/>
              <w:keepLines/>
              <w:pageBreakBefore w:val="0"/>
              <w:widowControl w:val="1"/>
              <w:spacing w:before="0" w:after="0"/>
              <w:jc w:val="center"/>
            </w:pPr>
            <w:r>
              <w:rPr>
                <w:rFonts w:ascii="Calibri" w:hAnsi="Calibri" w:cs="Calibri" w:eastAsia="Calibri"/>
                <w:b/>
                <w:i w:val="0"/>
                <w:caps w:val="1"/>
                <w:color w:val="8493A8"/>
                <w:spacing w:val="28"/>
                <w:sz w:val="14"/>
                <w:u w:val="none"/>
              </w:rPr>
              <w:t>[  IMAGE 2  ]</w:t>
            </w:r>
          </w:p>
          <w:p>
            <w:pPr>
              <w:keepNext w:val="0"/>
              <w:keepLines/>
              <w:pageBreakBefore w:val="0"/>
              <w:widowControl w:val="1"/>
              <w:spacing w:before="60" w:after="0"/>
              <w:jc w:val="center"/>
            </w:pPr>
            <w:r>
              <w:rPr>
                <w:rFonts w:ascii="Calibri" w:hAnsi="Calibri" w:cs="Calibri" w:eastAsia="Calibri"/>
                <w:b w:val="0"/>
                <w:i/>
                <w:color w:val="8493A8"/>
                <w:sz w:val="14"/>
                <w:u w:val="none"/>
              </w:rPr>
              <w:t>Living and dining</w:t>
            </w:r>
          </w:p>
        </w:tc>
      </w:tr>
    </w:tbl>
    <w:p>
      <w:pPr>
        <w:keepNext w:val="0"/>
        <w:keepLines/>
        <w:pageBreakBefore w:val="0"/>
        <w:widowControl w:val="1"/>
        <w:spacing w:before="0" w:after="0" w:line="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4961"/>
        <w:gridCol w:w="170"/>
        <w:gridCol w:w="4961"/>
      </w:tblGrid>
      <w:tr>
        <w:trPr>
          <w:cantSplit/>
          <w:trHeight w:val="2494" w:hRule="atLeast"/>
        </w:trPr>
        <w:tc>
          <w:tcPr>
            <w:tcW w:type="dxa" w:w="4961"/>
            <w:tcBorders>
              <w:top w:val="single" w:sz="4" w:space="0" w:color="C2CDDC"/>
              <w:left w:val="single" w:sz="4" w:space="0" w:color="C2CDDC"/>
              <w:bottom w:val="single" w:sz="4" w:space="0" w:color="C2CDDC"/>
              <w:right w:val="single" w:sz="4" w:space="0" w:color="C2CDDC"/>
            </w:tcBorders>
            <w:shd w:val="clear" w:color="auto" w:fill="EDF1F7"/>
            <w:tcMar>
              <w:top w:w="100" w:type="dxa"/>
              <w:left w:w="100" w:type="dxa"/>
              <w:bottom w:w="100" w:type="dxa"/>
              <w:right w:w="100" w:type="dxa"/>
            </w:tcMar>
            <w:vAlign w:val="center"/>
          </w:tcPr>
          <w:p>
            <w:pPr>
              <w:keepNext w:val="0"/>
              <w:keepLines/>
              <w:pageBreakBefore w:val="0"/>
              <w:widowControl w:val="1"/>
              <w:spacing w:before="0" w:after="0"/>
              <w:jc w:val="center"/>
            </w:pPr>
            <w:r>
              <w:rPr>
                <w:rFonts w:ascii="Calibri" w:hAnsi="Calibri" w:cs="Calibri" w:eastAsia="Calibri"/>
                <w:b/>
                <w:i w:val="0"/>
                <w:caps w:val="1"/>
                <w:color w:val="8493A8"/>
                <w:spacing w:val="28"/>
                <w:sz w:val="14"/>
                <w:u w:val="none"/>
              </w:rPr>
              <w:t>[  IMAGE 3  ]</w:t>
            </w:r>
          </w:p>
          <w:p>
            <w:pPr>
              <w:keepNext w:val="0"/>
              <w:keepLines/>
              <w:pageBreakBefore w:val="0"/>
              <w:widowControl w:val="1"/>
              <w:spacing w:before="60" w:after="0"/>
              <w:jc w:val="center"/>
            </w:pPr>
            <w:r>
              <w:rPr>
                <w:rFonts w:ascii="Calibri" w:hAnsi="Calibri" w:cs="Calibri" w:eastAsia="Calibri"/>
                <w:b w:val="0"/>
                <w:i/>
                <w:color w:val="8493A8"/>
                <w:sz w:val="14"/>
                <w:u w:val="none"/>
              </w:rPr>
              <w:t>Kitchen, original</w:t>
            </w:r>
          </w:p>
        </w:tc>
        <w:tc>
          <w:tcPr>
            <w:tcW w:type="dxa" w:w="170"/>
          </w:tcPr>
          <w:p/>
        </w:tc>
        <w:tc>
          <w:tcPr>
            <w:tcW w:type="dxa" w:w="4961"/>
            <w:tcBorders>
              <w:top w:val="single" w:sz="4" w:space="0" w:color="C2CDDC"/>
              <w:left w:val="single" w:sz="4" w:space="0" w:color="C2CDDC"/>
              <w:bottom w:val="single" w:sz="4" w:space="0" w:color="C2CDDC"/>
              <w:right w:val="single" w:sz="4" w:space="0" w:color="C2CDDC"/>
            </w:tcBorders>
            <w:shd w:val="clear" w:color="auto" w:fill="EDF1F7"/>
            <w:tcMar>
              <w:top w:w="100" w:type="dxa"/>
              <w:left w:w="100" w:type="dxa"/>
              <w:bottom w:w="100" w:type="dxa"/>
              <w:right w:w="100" w:type="dxa"/>
            </w:tcMar>
            <w:vAlign w:val="center"/>
          </w:tcPr>
          <w:p>
            <w:pPr>
              <w:keepNext w:val="0"/>
              <w:keepLines/>
              <w:pageBreakBefore w:val="0"/>
              <w:widowControl w:val="1"/>
              <w:spacing w:before="0" w:after="0"/>
              <w:jc w:val="center"/>
            </w:pPr>
            <w:r>
              <w:rPr>
                <w:rFonts w:ascii="Calibri" w:hAnsi="Calibri" w:cs="Calibri" w:eastAsia="Calibri"/>
                <w:b/>
                <w:i w:val="0"/>
                <w:caps w:val="1"/>
                <w:color w:val="8493A8"/>
                <w:spacing w:val="28"/>
                <w:sz w:val="14"/>
                <w:u w:val="none"/>
              </w:rPr>
              <w:t>[  IMAGE 4  ]</w:t>
            </w:r>
          </w:p>
          <w:p>
            <w:pPr>
              <w:keepNext w:val="0"/>
              <w:keepLines/>
              <w:pageBreakBefore w:val="0"/>
              <w:widowControl w:val="1"/>
              <w:spacing w:before="60" w:after="0"/>
              <w:jc w:val="center"/>
            </w:pPr>
            <w:r>
              <w:rPr>
                <w:rFonts w:ascii="Calibri" w:hAnsi="Calibri" w:cs="Calibri" w:eastAsia="Calibri"/>
                <w:b w:val="0"/>
                <w:i/>
                <w:color w:val="8493A8"/>
                <w:sz w:val="14"/>
                <w:u w:val="none"/>
              </w:rPr>
              <w:t>Rear yard and garage</w:t>
            </w:r>
          </w:p>
        </w:tc>
      </w:tr>
    </w:tbl>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964"/>
        <w:gridCol w:w="9128"/>
      </w:tblGrid>
      <w:tr>
        <w:trPr>
          <w:cantSplit/>
          <w:trHeight w:val="680" w:hRule="atLeast"/>
        </w:trPr>
        <w:tc>
          <w:tcPr>
            <w:tcW w:type="dxa" w:w="964"/>
            <w:shd w:val="clear" w:color="auto" w:fill="12B0CE"/>
            <w:tcMar>
              <w:top w:w="90" w:type="dxa"/>
              <w:left w:w="50" w:type="dxa"/>
              <w:bottom w:w="90" w:type="dxa"/>
              <w:right w:w="50" w:type="dxa"/>
            </w:tcMar>
            <w:vAlign w:val="center"/>
          </w:tcPr>
          <w:p>
            <w:pPr>
              <w:keepNext/>
              <w:keepLines/>
              <w:pageBreakBefore w:val="0"/>
              <w:widowControl w:val="1"/>
              <w:spacing w:before="0" w:after="0"/>
              <w:jc w:val="center"/>
            </w:pPr>
            <w:r>
              <w:rPr>
                <w:rFonts w:ascii="Calibri" w:hAnsi="Calibri" w:cs="Calibri" w:eastAsia="Calibri"/>
                <w:b/>
                <w:i w:val="0"/>
                <w:color w:val="FFFFFF"/>
                <w:sz w:val="27"/>
                <w:u w:val="none"/>
              </w:rPr>
              <w:t>04</w:t>
            </w:r>
          </w:p>
        </w:tc>
        <w:tc>
          <w:tcPr>
            <w:tcW w:type="dxa" w:w="9128"/>
            <w:shd w:val="clear" w:color="auto" w:fill="0C2340"/>
            <w:tcMar>
              <w:top w:w="95" w:type="dxa"/>
              <w:left w:w="190" w:type="dxa"/>
              <w:bottom w:w="95" w:type="dxa"/>
              <w:right w:w="150" w:type="dxa"/>
            </w:tcMar>
            <w:vAlign w:val="center"/>
          </w:tcPr>
          <w:p>
            <w:pPr>
              <w:keepNext/>
              <w:keepLines/>
              <w:pageBreakBefore w:val="0"/>
              <w:widowControl w:val="1"/>
              <w:spacing w:before="0" w:after="20"/>
            </w:pPr>
            <w:r>
              <w:rPr>
                <w:rFonts w:ascii="Calibri" w:hAnsi="Calibri" w:cs="Calibri" w:eastAsia="Calibri"/>
                <w:b/>
                <w:i w:val="0"/>
                <w:caps w:val="1"/>
                <w:color w:val="FFFFFF"/>
                <w:spacing w:val="36"/>
                <w:sz w:val="25"/>
                <w:u w:val="none"/>
              </w:rPr>
              <w:t>Location &amp; amenity</w:t>
            </w:r>
          </w:p>
          <w:p>
            <w:pPr>
              <w:keepNext/>
              <w:keepLines/>
              <w:pageBreakBefore w:val="0"/>
              <w:widowControl w:val="1"/>
              <w:spacing w:before="0" w:after="0"/>
            </w:pPr>
            <w:r>
              <w:rPr>
                <w:rFonts w:ascii="Calibri" w:hAnsi="Calibri" w:cs="Calibri" w:eastAsia="Calibri"/>
                <w:b w:val="0"/>
                <w:i w:val="0"/>
                <w:caps w:val="1"/>
                <w:color w:val="12B0CE"/>
                <w:spacing w:val="22"/>
                <w:sz w:val="14"/>
                <w:u w:val="none"/>
              </w:rPr>
              <w:t>Why here</w:t>
            </w:r>
          </w:p>
        </w:tc>
      </w:tr>
    </w:tbl>
    <w:p>
      <w:pPr>
        <w:keepNext w:val="1"/>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Height w:val="4309" w:hRule="atLeast"/>
        </w:trPr>
        <w:tc>
          <w:tcPr>
            <w:tcW w:type="dxa" w:w="10091"/>
            <w:shd w:val="clear" w:color="auto" w:fill="EDF1F7"/>
            <w:tcMar>
              <w:top w:w="120" w:type="dxa"/>
              <w:left w:w="140" w:type="dxa"/>
              <w:bottom w:w="120" w:type="dxa"/>
              <w:right w:w="140" w:type="dxa"/>
            </w:tcMar>
            <w:vAlign w:val="center"/>
          </w:tcPr>
          <w:p>
            <w:pPr>
              <w:keepNext/>
              <w:keepLines/>
              <w:pageBreakBefore w:val="0"/>
              <w:widowControl w:val="1"/>
              <w:spacing w:before="0" w:after="0"/>
              <w:jc w:val="center"/>
            </w:pPr>
            <w:r>
              <w:rPr>
                <w:rFonts w:ascii="Calibri" w:hAnsi="Calibri" w:cs="Calibri" w:eastAsia="Calibri"/>
                <w:b/>
                <w:i w:val="0"/>
                <w:caps w:val="1"/>
                <w:color w:val="8493A8"/>
                <w:spacing w:val="32"/>
                <w:sz w:val="15"/>
                <w:u w:val="none"/>
              </w:rPr>
              <w:t>[  SUBJECT AND AMENITY MAP  ]</w:t>
            </w:r>
          </w:p>
        </w:tc>
      </w:tr>
    </w:tbl>
    <w:p>
      <w:pPr>
        <w:keepNext w:val="0"/>
        <w:keepLines/>
        <w:pageBreakBefore w:val="0"/>
        <w:widowControl w:val="1"/>
        <w:spacing w:before="60" w:after="0" w:line="293" w:lineRule="auto"/>
      </w:pPr>
      <w:r>
        <w:rPr>
          <w:rFonts w:ascii="Calibri" w:hAnsi="Calibri" w:cs="Calibri" w:eastAsia="Calibri"/>
          <w:b w:val="0"/>
          <w:i/>
          <w:color w:val="8493A8"/>
          <w:sz w:val="14"/>
          <w:u w:val="none"/>
        </w:rPr>
        <w:t>Alt text: Map showing the subject property, transport, schools and retail</w:t>
      </w:r>
    </w:p>
    <w:p>
      <w:pPr>
        <w:keepNext w:val="0"/>
        <w:keepLines/>
        <w:pageBreakBefore w:val="0"/>
        <w:widowControl w:val="1"/>
        <w:spacing w:before="0" w:after="0" w:line="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523"/>
        <w:gridCol w:w="2523"/>
        <w:gridCol w:w="2523"/>
        <w:gridCol w:w="2523"/>
      </w:tblGrid>
      <w:tr>
        <w:trPr>
          <w:cantSplit/>
        </w:trPr>
        <w:tc>
          <w:tcPr>
            <w:tcW w:type="dxa" w:w="2523"/>
            <w:tcMar>
              <w:top w:w="50" w:type="dxa"/>
              <w:left w:w="60" w:type="dxa"/>
              <w:bottom w:w="50" w:type="dxa"/>
              <w:right w:w="60" w:type="dxa"/>
            </w:tcMar>
          </w:tcPr>
          <w:p>
            <w:pPr>
              <w:keepNext w:val="0"/>
              <w:keepLines/>
              <w:pageBreakBefore w:val="0"/>
              <w:widowControl w:val="1"/>
              <w:spacing w:before="0" w:after="0"/>
            </w:pPr>
            <w:r>
              <w:rPr>
                <w:rFonts w:ascii="Calibri" w:hAnsi="Calibri" w:cs="Calibri" w:eastAsia="Calibri"/>
                <w:b/>
                <w:i w:val="0"/>
                <w:color w:val="0C2340"/>
                <w:sz w:val="17"/>
                <w:u w:val="none"/>
              </w:rPr>
              <w:t xml:space="preserve">●  </w:t>
            </w:r>
            <w:r>
              <w:rPr>
                <w:rFonts w:ascii="Calibri" w:hAnsi="Calibri" w:cs="Calibri" w:eastAsia="Calibri"/>
                <w:b w:val="0"/>
                <w:i w:val="0"/>
                <w:color w:val="4C5B73"/>
                <w:sz w:val="14"/>
                <w:u w:val="none"/>
              </w:rPr>
              <w:t>Subject property</w:t>
            </w:r>
          </w:p>
        </w:tc>
        <w:tc>
          <w:tcPr>
            <w:tcW w:type="dxa" w:w="2523"/>
            <w:tcMar>
              <w:top w:w="50" w:type="dxa"/>
              <w:left w:w="60" w:type="dxa"/>
              <w:bottom w:w="50" w:type="dxa"/>
              <w:right w:w="60" w:type="dxa"/>
            </w:tcMar>
          </w:tcPr>
          <w:p>
            <w:pPr>
              <w:keepNext w:val="0"/>
              <w:keepLines/>
              <w:pageBreakBefore w:val="0"/>
              <w:widowControl w:val="1"/>
              <w:spacing w:before="0" w:after="0"/>
            </w:pPr>
            <w:r>
              <w:rPr>
                <w:rFonts w:ascii="Calibri" w:hAnsi="Calibri" w:cs="Calibri" w:eastAsia="Calibri"/>
                <w:b/>
                <w:i w:val="0"/>
                <w:color w:val="1D6FE0"/>
                <w:sz w:val="17"/>
                <w:u w:val="none"/>
              </w:rPr>
              <w:t xml:space="preserve">▲  </w:t>
            </w:r>
            <w:r>
              <w:rPr>
                <w:rFonts w:ascii="Calibri" w:hAnsi="Calibri" w:cs="Calibri" w:eastAsia="Calibri"/>
                <w:b w:val="0"/>
                <w:i w:val="0"/>
                <w:color w:val="4C5B73"/>
                <w:sz w:val="14"/>
                <w:u w:val="none"/>
              </w:rPr>
              <w:t>Rail</w:t>
            </w:r>
          </w:p>
        </w:tc>
        <w:tc>
          <w:tcPr>
            <w:tcW w:type="dxa" w:w="2523"/>
            <w:tcMar>
              <w:top w:w="50" w:type="dxa"/>
              <w:left w:w="60" w:type="dxa"/>
              <w:bottom w:w="50" w:type="dxa"/>
              <w:right w:w="60" w:type="dxa"/>
            </w:tcMar>
          </w:tcPr>
          <w:p>
            <w:pPr>
              <w:keepNext w:val="0"/>
              <w:keepLines/>
              <w:pageBreakBefore w:val="0"/>
              <w:widowControl w:val="1"/>
              <w:spacing w:before="0" w:after="0"/>
            </w:pPr>
            <w:r>
              <w:rPr>
                <w:rFonts w:ascii="Calibri" w:hAnsi="Calibri" w:cs="Calibri" w:eastAsia="Calibri"/>
                <w:b/>
                <w:i w:val="0"/>
                <w:color w:val="12B0CE"/>
                <w:sz w:val="17"/>
                <w:u w:val="none"/>
              </w:rPr>
              <w:t xml:space="preserve">■  </w:t>
            </w:r>
            <w:r>
              <w:rPr>
                <w:rFonts w:ascii="Calibri" w:hAnsi="Calibri" w:cs="Calibri" w:eastAsia="Calibri"/>
                <w:b w:val="0"/>
                <w:i w:val="0"/>
                <w:color w:val="4C5B73"/>
                <w:sz w:val="14"/>
                <w:u w:val="none"/>
              </w:rPr>
              <w:t>Schools</w:t>
            </w:r>
          </w:p>
        </w:tc>
        <w:tc>
          <w:tcPr>
            <w:tcW w:type="dxa" w:w="2523"/>
            <w:tcMar>
              <w:top w:w="50" w:type="dxa"/>
              <w:left w:w="60" w:type="dxa"/>
              <w:bottom w:w="50" w:type="dxa"/>
              <w:right w:w="60" w:type="dxa"/>
            </w:tcMar>
          </w:tcPr>
          <w:p>
            <w:pPr>
              <w:keepNext w:val="0"/>
              <w:keepLines/>
              <w:pageBreakBefore w:val="0"/>
              <w:widowControl w:val="1"/>
              <w:spacing w:before="0" w:after="0"/>
            </w:pPr>
            <w:r>
              <w:rPr>
                <w:rFonts w:ascii="Calibri" w:hAnsi="Calibri" w:cs="Calibri" w:eastAsia="Calibri"/>
                <w:b/>
                <w:i w:val="0"/>
                <w:color w:val="5B96EB"/>
                <w:sz w:val="17"/>
                <w:u w:val="none"/>
              </w:rPr>
              <w:t xml:space="preserve">◆  </w:t>
            </w:r>
            <w:r>
              <w:rPr>
                <w:rFonts w:ascii="Calibri" w:hAnsi="Calibri" w:cs="Calibri" w:eastAsia="Calibri"/>
                <w:b w:val="0"/>
                <w:i w:val="0"/>
                <w:color w:val="4C5B73"/>
                <w:sz w:val="14"/>
                <w:u w:val="none"/>
              </w:rPr>
              <w:t>Retail</w:t>
            </w:r>
          </w:p>
        </w:tc>
      </w:tr>
    </w:tbl>
    <w:p>
      <w:pPr>
        <w:keepNext w:val="0"/>
        <w:keepLines/>
        <w:pageBreakBefore w:val="0"/>
        <w:widowControl w:val="1"/>
        <w:spacing w:before="0" w:after="0" w:line="108" w:lineRule="exact"/>
      </w:pPr>
      <w:r>
        <w:rPr>
          <w:sz w:val="2"/>
        </w:rPr>
      </w:r>
    </w:p>
    <w:p>
      <w:pPr>
        <w:keepNext w:val="0"/>
        <w:keepLines/>
        <w:pageBreakBefore w:val="0"/>
        <w:widowControl w:val="1"/>
        <w:spacing w:before="0" w:after="0" w:line="317" w:lineRule="auto"/>
      </w:pPr>
      <w:r>
        <w:rPr>
          <w:rFonts w:ascii="Calibri" w:hAnsi="Calibri" w:cs="Calibri" w:eastAsia="Calibri"/>
          <w:b w:val="0"/>
          <w:i w:val="0"/>
          <w:color w:val="10192A"/>
          <w:sz w:val="19"/>
          <w:u w:val="none"/>
        </w:rPr>
        <w:t>The property sits on the northern side of the street, three streets from the primary retail strip and 900 metres from the station. The catchment primary school is within 1.2km and is at capacity, which historically supports family demand in the immediate blocks.</w:t>
      </w:r>
    </w:p>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964"/>
        <w:gridCol w:w="9128"/>
      </w:tblGrid>
      <w:tr>
        <w:trPr>
          <w:cantSplit/>
          <w:trHeight w:val="680" w:hRule="atLeast"/>
        </w:trPr>
        <w:tc>
          <w:tcPr>
            <w:tcW w:type="dxa" w:w="964"/>
            <w:shd w:val="clear" w:color="auto" w:fill="12B0CE"/>
            <w:tcMar>
              <w:top w:w="90" w:type="dxa"/>
              <w:left w:w="50" w:type="dxa"/>
              <w:bottom w:w="90" w:type="dxa"/>
              <w:right w:w="50" w:type="dxa"/>
            </w:tcMar>
            <w:vAlign w:val="center"/>
          </w:tcPr>
          <w:p>
            <w:pPr>
              <w:keepNext/>
              <w:keepLines/>
              <w:pageBreakBefore w:val="0"/>
              <w:widowControl w:val="1"/>
              <w:spacing w:before="0" w:after="0"/>
              <w:jc w:val="center"/>
            </w:pPr>
            <w:r>
              <w:rPr>
                <w:rFonts w:ascii="Calibri" w:hAnsi="Calibri" w:cs="Calibri" w:eastAsia="Calibri"/>
                <w:b/>
                <w:i w:val="0"/>
                <w:color w:val="FFFFFF"/>
                <w:sz w:val="27"/>
                <w:u w:val="none"/>
              </w:rPr>
              <w:t>05</w:t>
            </w:r>
          </w:p>
        </w:tc>
        <w:tc>
          <w:tcPr>
            <w:tcW w:type="dxa" w:w="9128"/>
            <w:shd w:val="clear" w:color="auto" w:fill="0C2340"/>
            <w:tcMar>
              <w:top w:w="95" w:type="dxa"/>
              <w:left w:w="190" w:type="dxa"/>
              <w:bottom w:w="95" w:type="dxa"/>
              <w:right w:w="150" w:type="dxa"/>
            </w:tcMar>
            <w:vAlign w:val="center"/>
          </w:tcPr>
          <w:p>
            <w:pPr>
              <w:keepNext/>
              <w:keepLines/>
              <w:pageBreakBefore w:val="0"/>
              <w:widowControl w:val="1"/>
              <w:spacing w:before="0" w:after="20"/>
            </w:pPr>
            <w:r>
              <w:rPr>
                <w:rFonts w:ascii="Calibri" w:hAnsi="Calibri" w:cs="Calibri" w:eastAsia="Calibri"/>
                <w:b/>
                <w:i w:val="0"/>
                <w:caps w:val="1"/>
                <w:color w:val="FFFFFF"/>
                <w:spacing w:val="36"/>
                <w:sz w:val="25"/>
                <w:u w:val="none"/>
              </w:rPr>
              <w:t>Financial analysis</w:t>
            </w:r>
          </w:p>
          <w:p>
            <w:pPr>
              <w:keepNext/>
              <w:keepLines/>
              <w:pageBreakBefore w:val="0"/>
              <w:widowControl w:val="1"/>
              <w:spacing w:before="0" w:after="0"/>
            </w:pPr>
            <w:r>
              <w:rPr>
                <w:rFonts w:ascii="Calibri" w:hAnsi="Calibri" w:cs="Calibri" w:eastAsia="Calibri"/>
                <w:b w:val="0"/>
                <w:i w:val="0"/>
                <w:caps w:val="1"/>
                <w:color w:val="12B0CE"/>
                <w:spacing w:val="22"/>
                <w:sz w:val="14"/>
                <w:u w:val="none"/>
              </w:rPr>
              <w:t>Acquisition and holding</w:t>
            </w:r>
          </w:p>
        </w:tc>
      </w:tr>
    </w:tbl>
    <w:p>
      <w:pPr>
        <w:keepNext w:val="1"/>
        <w:keepLines/>
        <w:pageBreakBefore w:val="0"/>
        <w:widowControl w:val="1"/>
        <w:spacing w:before="0" w:after="0" w:line="18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8"/>
          <w:sz w:val="15"/>
          <w:u w:val="none"/>
        </w:rPr>
        <w:t>Acquisition costs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Acquisition costs"/>
        <w:tblDescription w:val="Columns: Item, Basis, Amount, Notes"/>
      </w:tblPr>
      <w:tblGrid>
        <w:gridCol w:w="2948"/>
        <w:gridCol w:w="2268"/>
        <w:gridCol w:w="1814"/>
        <w:gridCol w:w="3061"/>
      </w:tblGrid>
      <w:tr>
        <w:trPr>
          <w:cantSplit/>
          <w:trHeight w:val="420" w:hRule="atLeast"/>
          <w:tblHeader/>
        </w:trPr>
        <w:tc>
          <w:tcPr>
            <w:tcW w:type="dxa" w:w="2948"/>
            <w:tcBorders>
              <w:top w:val="nil"/>
              <w:left w:val="nil"/>
              <w:bottom w:val="single" w:sz="8" w:space="0" w:color="12B0CE"/>
              <w:right w:val="nil"/>
            </w:tcBorders>
            <w:shd w:val="clear" w:color="auto" w:fill="0C2340"/>
            <w:tcMar>
              <w:top w:w="95" w:type="dxa"/>
              <w:left w:w="133" w:type="dxa"/>
              <w:bottom w:w="95" w:type="dxa"/>
              <w:right w:w="13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Item</w:t>
            </w:r>
          </w:p>
        </w:tc>
        <w:tc>
          <w:tcPr>
            <w:tcW w:type="dxa" w:w="2268"/>
            <w:tcBorders>
              <w:top w:val="nil"/>
              <w:left w:val="nil"/>
              <w:bottom w:val="single" w:sz="8" w:space="0" w:color="12B0CE"/>
              <w:right w:val="nil"/>
            </w:tcBorders>
            <w:shd w:val="clear" w:color="auto" w:fill="0C2340"/>
            <w:tcMar>
              <w:top w:w="95" w:type="dxa"/>
              <w:left w:w="133" w:type="dxa"/>
              <w:bottom w:w="95" w:type="dxa"/>
              <w:right w:w="13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Basis</w:t>
            </w:r>
          </w:p>
        </w:tc>
        <w:tc>
          <w:tcPr>
            <w:tcW w:type="dxa" w:w="1814"/>
            <w:tcBorders>
              <w:top w:val="nil"/>
              <w:left w:val="nil"/>
              <w:bottom w:val="single" w:sz="8" w:space="0" w:color="12B0CE"/>
              <w:right w:val="nil"/>
            </w:tcBorders>
            <w:shd w:val="clear" w:color="auto" w:fill="0C2340"/>
            <w:tcMar>
              <w:top w:w="95" w:type="dxa"/>
              <w:left w:w="133" w:type="dxa"/>
              <w:bottom w:w="95" w:type="dxa"/>
              <w:right w:w="133"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Amount</w:t>
            </w:r>
          </w:p>
        </w:tc>
        <w:tc>
          <w:tcPr>
            <w:tcW w:type="dxa" w:w="3061"/>
            <w:tcBorders>
              <w:top w:val="nil"/>
              <w:left w:val="nil"/>
              <w:bottom w:val="single" w:sz="8" w:space="0" w:color="12B0CE"/>
              <w:right w:val="nil"/>
            </w:tcBorders>
            <w:shd w:val="clear" w:color="auto" w:fill="0C2340"/>
            <w:tcMar>
              <w:top w:w="95" w:type="dxa"/>
              <w:left w:w="133" w:type="dxa"/>
              <w:bottom w:w="95" w:type="dxa"/>
              <w:right w:w="13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Notes</w:t>
            </w:r>
          </w:p>
        </w:tc>
      </w:tr>
      <w:tr>
        <w:trPr>
          <w:cantSplit/>
          <w:trHeight w:val="397" w:hRule="atLeast"/>
        </w:trPr>
        <w:tc>
          <w:tcPr>
            <w:tcW w:type="dxa" w:w="2948"/>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Purchase price</w:t>
            </w:r>
          </w:p>
        </w:tc>
        <w:tc>
          <w:tcPr>
            <w:tcW w:type="dxa" w:w="2268"/>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Recommended maximum</w:t>
            </w:r>
          </w:p>
        </w:tc>
        <w:tc>
          <w:tcPr>
            <w:tcW w:type="dxa" w:w="1814"/>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$865,000</w:t>
            </w:r>
          </w:p>
        </w:tc>
        <w:tc>
          <w:tcPr>
            <w:tcW w:type="dxa" w:w="3061"/>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t>
            </w:r>
          </w:p>
        </w:tc>
      </w:tr>
      <w:tr>
        <w:trPr>
          <w:cantSplit/>
          <w:trHeight w:val="397" w:hRule="atLeast"/>
        </w:trPr>
        <w:tc>
          <w:tcPr>
            <w:tcW w:type="dxa" w:w="2948"/>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Stamp duty</w:t>
            </w:r>
          </w:p>
        </w:tc>
        <w:tc>
          <w:tcPr>
            <w:tcW w:type="dxa" w:w="2268"/>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NSW, investor</w:t>
            </w:r>
          </w:p>
        </w:tc>
        <w:tc>
          <w:tcPr>
            <w:tcW w:type="dxa" w:w="1814"/>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$34,290</w:t>
            </w:r>
          </w:p>
        </w:tc>
        <w:tc>
          <w:tcPr>
            <w:tcW w:type="dxa" w:w="3061"/>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Estimate</w:t>
            </w:r>
          </w:p>
        </w:tc>
      </w:tr>
      <w:tr>
        <w:trPr>
          <w:cantSplit/>
          <w:trHeight w:val="397" w:hRule="atLeast"/>
        </w:trPr>
        <w:tc>
          <w:tcPr>
            <w:tcW w:type="dxa" w:w="2948"/>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Legal and conveyancing</w:t>
            </w:r>
          </w:p>
        </w:tc>
        <w:tc>
          <w:tcPr>
            <w:tcW w:type="dxa" w:w="2268"/>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Fixed fee</w:t>
            </w:r>
          </w:p>
        </w:tc>
        <w:tc>
          <w:tcPr>
            <w:tcW w:type="dxa" w:w="1814"/>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$1,800</w:t>
            </w:r>
          </w:p>
        </w:tc>
        <w:tc>
          <w:tcPr>
            <w:tcW w:type="dxa" w:w="3061"/>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Quoted</w:t>
            </w:r>
          </w:p>
        </w:tc>
      </w:tr>
      <w:tr>
        <w:trPr>
          <w:cantSplit/>
          <w:trHeight w:val="397" w:hRule="atLeast"/>
        </w:trPr>
        <w:tc>
          <w:tcPr>
            <w:tcW w:type="dxa" w:w="2948"/>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Building and pest</w:t>
            </w:r>
          </w:p>
        </w:tc>
        <w:tc>
          <w:tcPr>
            <w:tcW w:type="dxa" w:w="2268"/>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Fixed fee</w:t>
            </w:r>
          </w:p>
        </w:tc>
        <w:tc>
          <w:tcPr>
            <w:tcW w:type="dxa" w:w="1814"/>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$650</w:t>
            </w:r>
          </w:p>
        </w:tc>
        <w:tc>
          <w:tcPr>
            <w:tcW w:type="dxa" w:w="3061"/>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Completed</w:t>
            </w:r>
          </w:p>
        </w:tc>
      </w:tr>
      <w:tr>
        <w:trPr>
          <w:cantSplit/>
          <w:trHeight w:val="397" w:hRule="atLeast"/>
        </w:trPr>
        <w:tc>
          <w:tcPr>
            <w:tcW w:type="dxa" w:w="2948"/>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Lender and valuation fees</w:t>
            </w:r>
          </w:p>
        </w:tc>
        <w:tc>
          <w:tcPr>
            <w:tcW w:type="dxa" w:w="2268"/>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Estimate</w:t>
            </w:r>
          </w:p>
        </w:tc>
        <w:tc>
          <w:tcPr>
            <w:tcW w:type="dxa" w:w="1814"/>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$1,100</w:t>
            </w:r>
          </w:p>
        </w:tc>
        <w:tc>
          <w:tcPr>
            <w:tcW w:type="dxa" w:w="3061"/>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Lender dependent</w:t>
            </w:r>
          </w:p>
        </w:tc>
      </w:tr>
      <w:tr>
        <w:trPr>
          <w:cantSplit/>
          <w:trHeight w:val="397" w:hRule="atLeast"/>
        </w:trPr>
        <w:tc>
          <w:tcPr>
            <w:tcW w:type="dxa" w:w="2948"/>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Buyer's agency fee</w:t>
            </w:r>
          </w:p>
        </w:tc>
        <w:tc>
          <w:tcPr>
            <w:tcW w:type="dxa" w:w="2268"/>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Per engagement</w:t>
            </w:r>
          </w:p>
        </w:tc>
        <w:tc>
          <w:tcPr>
            <w:tcW w:type="dxa" w:w="1814"/>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$14,200</w:t>
            </w:r>
          </w:p>
        </w:tc>
        <w:tc>
          <w:tcPr>
            <w:tcW w:type="dxa" w:w="3061"/>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Incl. GST</w:t>
            </w:r>
          </w:p>
        </w:tc>
      </w:tr>
      <w:tr>
        <w:trPr>
          <w:cantSplit/>
          <w:trHeight w:val="397" w:hRule="atLeast"/>
        </w:trPr>
        <w:tc>
          <w:tcPr>
            <w:tcW w:type="dxa" w:w="2948"/>
            <w:tcBorders>
              <w:top w:val="nil"/>
              <w:left w:val="nil"/>
              <w:bottom w:val="single" w:sz="8" w:space="0" w:color="12B0CE"/>
              <w:right w:val="nil"/>
            </w:tcBorders>
            <w:shd w:val="clear" w:color="auto" w:fill="D5F1F7"/>
            <w:tcMar>
              <w:top w:w="95" w:type="dxa"/>
              <w:left w:w="133" w:type="dxa"/>
              <w:bottom w:w="95" w:type="dxa"/>
              <w:right w:w="133" w:type="dxa"/>
            </w:tcMar>
            <w:vAlign w:val="top"/>
          </w:tcPr>
          <w:p>
            <w:pPr>
              <w:keepNext/>
              <w:keepLines/>
              <w:pageBreakBefore w:val="0"/>
              <w:widowControl w:val="1"/>
              <w:spacing w:before="0" w:after="0" w:line="293" w:lineRule="auto"/>
            </w:pPr>
            <w:r>
              <w:rPr>
                <w:rFonts w:ascii="Calibri" w:hAnsi="Calibri" w:cs="Calibri" w:eastAsia="Calibri"/>
                <w:b/>
                <w:i w:val="0"/>
                <w:color w:val="0C2340"/>
                <w:sz w:val="17"/>
                <w:u w:val="none"/>
              </w:rPr>
              <w:t>Total acquisition cost</w:t>
            </w:r>
          </w:p>
        </w:tc>
        <w:tc>
          <w:tcPr>
            <w:tcW w:type="dxa" w:w="2268"/>
            <w:tcBorders>
              <w:top w:val="nil"/>
              <w:left w:val="nil"/>
              <w:bottom w:val="single" w:sz="8" w:space="0" w:color="12B0CE"/>
              <w:right w:val="nil"/>
            </w:tcBorders>
            <w:shd w:val="clear" w:color="auto" w:fill="D5F1F7"/>
            <w:tcMar>
              <w:top w:w="95" w:type="dxa"/>
              <w:left w:w="133" w:type="dxa"/>
              <w:bottom w:w="95" w:type="dxa"/>
              <w:right w:w="133" w:type="dxa"/>
            </w:tcMar>
            <w:vAlign w:val="top"/>
          </w:tcPr>
          <w:p>
            <w:pPr>
              <w:keepNext/>
              <w:keepLines/>
              <w:pageBreakBefore w:val="0"/>
              <w:widowControl w:val="1"/>
              <w:spacing w:before="0" w:after="0" w:line="293" w:lineRule="auto"/>
            </w:pPr>
          </w:p>
        </w:tc>
        <w:tc>
          <w:tcPr>
            <w:tcW w:type="dxa" w:w="1814"/>
            <w:tcBorders>
              <w:top w:val="nil"/>
              <w:left w:val="nil"/>
              <w:bottom w:val="single" w:sz="8" w:space="0" w:color="12B0CE"/>
              <w:right w:val="nil"/>
            </w:tcBorders>
            <w:shd w:val="clear" w:color="auto" w:fill="D5F1F7"/>
            <w:tcMar>
              <w:top w:w="95" w:type="dxa"/>
              <w:left w:w="133" w:type="dxa"/>
              <w:bottom w:w="95" w:type="dxa"/>
              <w:right w:w="133" w:type="dxa"/>
            </w:tcMar>
            <w:vAlign w:val="top"/>
          </w:tcPr>
          <w:p>
            <w:pPr>
              <w:keepNext/>
              <w:keepLines/>
              <w:pageBreakBefore w:val="0"/>
              <w:widowControl w:val="1"/>
              <w:spacing w:before="0" w:after="0" w:line="293" w:lineRule="auto"/>
              <w:jc w:val="right"/>
            </w:pPr>
            <w:r>
              <w:rPr>
                <w:rFonts w:ascii="Calibri" w:hAnsi="Calibri" w:cs="Calibri" w:eastAsia="Calibri"/>
                <w:b/>
                <w:i w:val="0"/>
                <w:color w:val="0C2340"/>
                <w:sz w:val="17"/>
                <w:u w:val="none"/>
              </w:rPr>
              <w:t>$917,040</w:t>
            </w:r>
          </w:p>
        </w:tc>
        <w:tc>
          <w:tcPr>
            <w:tcW w:type="dxa" w:w="3061"/>
            <w:tcBorders>
              <w:top w:val="nil"/>
              <w:left w:val="nil"/>
              <w:bottom w:val="single" w:sz="8" w:space="0" w:color="12B0CE"/>
              <w:right w:val="nil"/>
            </w:tcBorders>
            <w:shd w:val="clear" w:color="auto" w:fill="D5F1F7"/>
            <w:tcMar>
              <w:top w:w="95" w:type="dxa"/>
              <w:left w:w="133" w:type="dxa"/>
              <w:bottom w:w="95" w:type="dxa"/>
              <w:right w:w="133" w:type="dxa"/>
            </w:tcMar>
            <w:vAlign w:val="top"/>
          </w:tcPr>
          <w:p>
            <w:pPr>
              <w:keepNext/>
              <w:keepLines/>
              <w:pageBreakBefore w:val="0"/>
              <w:widowControl w:val="1"/>
              <w:spacing w:before="0" w:after="0" w:line="293" w:lineRule="auto"/>
            </w:pPr>
          </w:p>
        </w:tc>
      </w:tr>
    </w:tbl>
    <w:p>
      <w:pPr>
        <w:keepNext w:val="0"/>
        <w:keepLines/>
        <w:pageBreakBefore w:val="0"/>
        <w:widowControl w:val="1"/>
        <w:spacing w:before="80" w:after="0" w:line="298" w:lineRule="auto"/>
      </w:pPr>
      <w:r>
        <w:rPr>
          <w:rFonts w:ascii="Calibri" w:hAnsi="Calibri" w:cs="Calibri" w:eastAsia="Calibri"/>
          <w:b w:val="0"/>
          <w:i/>
          <w:color w:val="8493A8"/>
          <w:sz w:val="14"/>
          <w:u w:val="none"/>
        </w:rPr>
        <w:t>Stamp duty is an estimate only and must be confirmed with the client's conveyancer. Figures exclude GST unless stated.</w:t>
      </w:r>
    </w:p>
    <w:p>
      <w:pPr>
        <w:keepNext w:val="0"/>
        <w:keepLines/>
        <w:pageBreakBefore w:val="0"/>
        <w:widowControl w:val="1"/>
        <w:spacing w:before="0" w:after="0" w:line="126"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8"/>
          <w:sz w:val="15"/>
          <w:u w:val="none"/>
        </w:rPr>
        <w:t>First-year holding position</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First-year holding position"/>
        <w:tblDescription w:val="Columns: Item, Annual, Weekly, Basis"/>
      </w:tblPr>
      <w:tblGrid>
        <w:gridCol w:w="3288"/>
        <w:gridCol w:w="1928"/>
        <w:gridCol w:w="1701"/>
        <w:gridCol w:w="3175"/>
      </w:tblGrid>
      <w:tr>
        <w:trPr>
          <w:cantSplit/>
          <w:trHeight w:val="420" w:hRule="atLeast"/>
          <w:tblHeader/>
        </w:trPr>
        <w:tc>
          <w:tcPr>
            <w:tcW w:type="dxa" w:w="3288"/>
            <w:tcBorders>
              <w:top w:val="nil"/>
              <w:left w:val="nil"/>
              <w:bottom w:val="single" w:sz="8" w:space="0" w:color="12B0CE"/>
              <w:right w:val="nil"/>
            </w:tcBorders>
            <w:shd w:val="clear" w:color="auto" w:fill="0C2340"/>
            <w:tcMar>
              <w:top w:w="95" w:type="dxa"/>
              <w:left w:w="133" w:type="dxa"/>
              <w:bottom w:w="95" w:type="dxa"/>
              <w:right w:w="13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Item</w:t>
            </w:r>
          </w:p>
        </w:tc>
        <w:tc>
          <w:tcPr>
            <w:tcW w:type="dxa" w:w="1928"/>
            <w:tcBorders>
              <w:top w:val="nil"/>
              <w:left w:val="nil"/>
              <w:bottom w:val="single" w:sz="8" w:space="0" w:color="12B0CE"/>
              <w:right w:val="nil"/>
            </w:tcBorders>
            <w:shd w:val="clear" w:color="auto" w:fill="0C2340"/>
            <w:tcMar>
              <w:top w:w="95" w:type="dxa"/>
              <w:left w:w="133" w:type="dxa"/>
              <w:bottom w:w="95" w:type="dxa"/>
              <w:right w:w="133"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Annual</w:t>
            </w:r>
          </w:p>
        </w:tc>
        <w:tc>
          <w:tcPr>
            <w:tcW w:type="dxa" w:w="1701"/>
            <w:tcBorders>
              <w:top w:val="nil"/>
              <w:left w:val="nil"/>
              <w:bottom w:val="single" w:sz="8" w:space="0" w:color="12B0CE"/>
              <w:right w:val="nil"/>
            </w:tcBorders>
            <w:shd w:val="clear" w:color="auto" w:fill="0C2340"/>
            <w:tcMar>
              <w:top w:w="95" w:type="dxa"/>
              <w:left w:w="133" w:type="dxa"/>
              <w:bottom w:w="95" w:type="dxa"/>
              <w:right w:w="133"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Weekly</w:t>
            </w:r>
          </w:p>
        </w:tc>
        <w:tc>
          <w:tcPr>
            <w:tcW w:type="dxa" w:w="3175"/>
            <w:tcBorders>
              <w:top w:val="nil"/>
              <w:left w:val="nil"/>
              <w:bottom w:val="single" w:sz="8" w:space="0" w:color="12B0CE"/>
              <w:right w:val="nil"/>
            </w:tcBorders>
            <w:shd w:val="clear" w:color="auto" w:fill="0C2340"/>
            <w:tcMar>
              <w:top w:w="95" w:type="dxa"/>
              <w:left w:w="133" w:type="dxa"/>
              <w:bottom w:w="95" w:type="dxa"/>
              <w:right w:w="13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Basis</w:t>
            </w:r>
          </w:p>
        </w:tc>
      </w:tr>
      <w:tr>
        <w:trPr>
          <w:cantSplit/>
          <w:trHeight w:val="397" w:hRule="atLeast"/>
        </w:trPr>
        <w:tc>
          <w:tcPr>
            <w:tcW w:type="dxa" w:w="3288"/>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Rental income</w:t>
            </w:r>
          </w:p>
        </w:tc>
        <w:tc>
          <w:tcPr>
            <w:tcW w:type="dxa" w:w="1928"/>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$39,780</w:t>
            </w:r>
          </w:p>
        </w:tc>
        <w:tc>
          <w:tcPr>
            <w:tcW w:type="dxa" w:w="1701"/>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$765</w:t>
            </w:r>
          </w:p>
        </w:tc>
        <w:tc>
          <w:tcPr>
            <w:tcW w:type="dxa" w:w="3175"/>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Appraised</w:t>
            </w:r>
          </w:p>
        </w:tc>
      </w:tr>
      <w:tr>
        <w:trPr>
          <w:cantSplit/>
          <w:trHeight w:val="397" w:hRule="atLeast"/>
        </w:trPr>
        <w:tc>
          <w:tcPr>
            <w:tcW w:type="dxa" w:w="3288"/>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Council rates</w:t>
            </w:r>
          </w:p>
        </w:tc>
        <w:tc>
          <w:tcPr>
            <w:tcW w:type="dxa" w:w="1928"/>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-$2,140</w:t>
            </w:r>
          </w:p>
        </w:tc>
        <w:tc>
          <w:tcPr>
            <w:tcW w:type="dxa" w:w="1701"/>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-$41</w:t>
            </w:r>
          </w:p>
        </w:tc>
        <w:tc>
          <w:tcPr>
            <w:tcW w:type="dxa" w:w="3175"/>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Actual</w:t>
            </w:r>
          </w:p>
        </w:tc>
      </w:tr>
      <w:tr>
        <w:trPr>
          <w:cantSplit/>
          <w:trHeight w:val="397" w:hRule="atLeast"/>
        </w:trPr>
        <w:tc>
          <w:tcPr>
            <w:tcW w:type="dxa" w:w="3288"/>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Water and sewer</w:t>
            </w:r>
          </w:p>
        </w:tc>
        <w:tc>
          <w:tcPr>
            <w:tcW w:type="dxa" w:w="1928"/>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-$1,180</w:t>
            </w:r>
          </w:p>
        </w:tc>
        <w:tc>
          <w:tcPr>
            <w:tcW w:type="dxa" w:w="1701"/>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-$23</w:t>
            </w:r>
          </w:p>
        </w:tc>
        <w:tc>
          <w:tcPr>
            <w:tcW w:type="dxa" w:w="3175"/>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Actual</w:t>
            </w:r>
          </w:p>
        </w:tc>
      </w:tr>
      <w:tr>
        <w:trPr>
          <w:cantSplit/>
          <w:trHeight w:val="397" w:hRule="atLeast"/>
        </w:trPr>
        <w:tc>
          <w:tcPr>
            <w:tcW w:type="dxa" w:w="3288"/>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Insurance</w:t>
            </w:r>
          </w:p>
        </w:tc>
        <w:tc>
          <w:tcPr>
            <w:tcW w:type="dxa" w:w="1928"/>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-$1,650</w:t>
            </w:r>
          </w:p>
        </w:tc>
        <w:tc>
          <w:tcPr>
            <w:tcW w:type="dxa" w:w="1701"/>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-$32</w:t>
            </w:r>
          </w:p>
        </w:tc>
        <w:tc>
          <w:tcPr>
            <w:tcW w:type="dxa" w:w="3175"/>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Quoted</w:t>
            </w:r>
          </w:p>
        </w:tc>
      </w:tr>
      <w:tr>
        <w:trPr>
          <w:cantSplit/>
          <w:trHeight w:val="397" w:hRule="atLeast"/>
        </w:trPr>
        <w:tc>
          <w:tcPr>
            <w:tcW w:type="dxa" w:w="3288"/>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Property management</w:t>
            </w:r>
          </w:p>
        </w:tc>
        <w:tc>
          <w:tcPr>
            <w:tcW w:type="dxa" w:w="1928"/>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-$2,745</w:t>
            </w:r>
          </w:p>
        </w:tc>
        <w:tc>
          <w:tcPr>
            <w:tcW w:type="dxa" w:w="1701"/>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-$53</w:t>
            </w:r>
          </w:p>
        </w:tc>
        <w:tc>
          <w:tcPr>
            <w:tcW w:type="dxa" w:w="3175"/>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6.9% incl. GST</w:t>
            </w:r>
          </w:p>
        </w:tc>
      </w:tr>
      <w:tr>
        <w:trPr>
          <w:cantSplit/>
          <w:trHeight w:val="397" w:hRule="atLeast"/>
        </w:trPr>
        <w:tc>
          <w:tcPr>
            <w:tcW w:type="dxa" w:w="3288"/>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Repairs allowance</w:t>
            </w:r>
          </w:p>
        </w:tc>
        <w:tc>
          <w:tcPr>
            <w:tcW w:type="dxa" w:w="1928"/>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-$1,500</w:t>
            </w:r>
          </w:p>
        </w:tc>
        <w:tc>
          <w:tcPr>
            <w:tcW w:type="dxa" w:w="1701"/>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-$29</w:t>
            </w:r>
          </w:p>
        </w:tc>
        <w:tc>
          <w:tcPr>
            <w:tcW w:type="dxa" w:w="3175"/>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Assumption</w:t>
            </w:r>
          </w:p>
        </w:tc>
      </w:tr>
      <w:tr>
        <w:trPr>
          <w:cantSplit/>
          <w:trHeight w:val="397" w:hRule="atLeast"/>
        </w:trPr>
        <w:tc>
          <w:tcPr>
            <w:tcW w:type="dxa" w:w="3288"/>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Loan interest</w:t>
            </w:r>
          </w:p>
        </w:tc>
        <w:tc>
          <w:tcPr>
            <w:tcW w:type="dxa" w:w="1928"/>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-$41,472</w:t>
            </w:r>
          </w:p>
        </w:tc>
        <w:tc>
          <w:tcPr>
            <w:tcW w:type="dxa" w:w="1701"/>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-$798</w:t>
            </w:r>
          </w:p>
        </w:tc>
        <w:tc>
          <w:tcPr>
            <w:tcW w:type="dxa" w:w="3175"/>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6.4% on $648,000</w:t>
            </w:r>
          </w:p>
        </w:tc>
      </w:tr>
      <w:tr>
        <w:trPr>
          <w:cantSplit/>
          <w:trHeight w:val="397" w:hRule="atLeast"/>
        </w:trPr>
        <w:tc>
          <w:tcPr>
            <w:tcW w:type="dxa" w:w="3288"/>
            <w:tcBorders>
              <w:top w:val="nil"/>
              <w:left w:val="nil"/>
              <w:bottom w:val="single" w:sz="8" w:space="0" w:color="12B0CE"/>
              <w:right w:val="nil"/>
            </w:tcBorders>
            <w:shd w:val="clear" w:color="auto" w:fill="D5F1F7"/>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i w:val="0"/>
                <w:color w:val="0C2340"/>
                <w:sz w:val="17"/>
                <w:u w:val="none"/>
              </w:rPr>
              <w:t>Pre-tax position</w:t>
            </w:r>
          </w:p>
        </w:tc>
        <w:tc>
          <w:tcPr>
            <w:tcW w:type="dxa" w:w="1928"/>
            <w:tcBorders>
              <w:top w:val="nil"/>
              <w:left w:val="nil"/>
              <w:bottom w:val="single" w:sz="8" w:space="0" w:color="12B0CE"/>
              <w:right w:val="nil"/>
            </w:tcBorders>
            <w:shd w:val="clear" w:color="auto" w:fill="D5F1F7"/>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i w:val="0"/>
                <w:color w:val="0C2340"/>
                <w:sz w:val="17"/>
                <w:u w:val="none"/>
              </w:rPr>
              <w:t>-$10,907</w:t>
            </w:r>
          </w:p>
        </w:tc>
        <w:tc>
          <w:tcPr>
            <w:tcW w:type="dxa" w:w="1701"/>
            <w:tcBorders>
              <w:top w:val="nil"/>
              <w:left w:val="nil"/>
              <w:bottom w:val="single" w:sz="8" w:space="0" w:color="12B0CE"/>
              <w:right w:val="nil"/>
            </w:tcBorders>
            <w:shd w:val="clear" w:color="auto" w:fill="D5F1F7"/>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i w:val="0"/>
                <w:color w:val="0C2340"/>
                <w:sz w:val="17"/>
                <w:u w:val="none"/>
              </w:rPr>
              <w:t>-$210</w:t>
            </w:r>
          </w:p>
        </w:tc>
        <w:tc>
          <w:tcPr>
            <w:tcW w:type="dxa" w:w="3175"/>
            <w:tcBorders>
              <w:top w:val="nil"/>
              <w:left w:val="nil"/>
              <w:bottom w:val="single" w:sz="8" w:space="0" w:color="12B0CE"/>
              <w:right w:val="nil"/>
            </w:tcBorders>
            <w:shd w:val="clear" w:color="auto" w:fill="D5F1F7"/>
            <w:tcMar>
              <w:top w:w="95" w:type="dxa"/>
              <w:left w:w="133" w:type="dxa"/>
              <w:bottom w:w="95" w:type="dxa"/>
              <w:right w:w="133" w:type="dxa"/>
            </w:tcMar>
            <w:vAlign w:val="top"/>
          </w:tcPr>
          <w:p>
            <w:pPr>
              <w:keepNext w:val="0"/>
              <w:keepLines/>
              <w:pageBreakBefore w:val="0"/>
              <w:widowControl w:val="1"/>
              <w:spacing w:before="0" w:after="0" w:line="293" w:lineRule="auto"/>
            </w:pPr>
          </w:p>
        </w:tc>
      </w:tr>
    </w:tbl>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964"/>
        <w:gridCol w:w="9128"/>
      </w:tblGrid>
      <w:tr>
        <w:trPr>
          <w:cantSplit/>
          <w:trHeight w:val="680" w:hRule="atLeast"/>
        </w:trPr>
        <w:tc>
          <w:tcPr>
            <w:tcW w:type="dxa" w:w="964"/>
            <w:shd w:val="clear" w:color="auto" w:fill="12B0CE"/>
            <w:tcMar>
              <w:top w:w="90" w:type="dxa"/>
              <w:left w:w="50" w:type="dxa"/>
              <w:bottom w:w="90" w:type="dxa"/>
              <w:right w:w="50" w:type="dxa"/>
            </w:tcMar>
            <w:vAlign w:val="center"/>
          </w:tcPr>
          <w:p>
            <w:pPr>
              <w:keepNext/>
              <w:keepLines/>
              <w:pageBreakBefore w:val="0"/>
              <w:widowControl w:val="1"/>
              <w:spacing w:before="0" w:after="0"/>
              <w:jc w:val="center"/>
            </w:pPr>
            <w:r>
              <w:rPr>
                <w:rFonts w:ascii="Calibri" w:hAnsi="Calibri" w:cs="Calibri" w:eastAsia="Calibri"/>
                <w:b/>
                <w:i w:val="0"/>
                <w:color w:val="FFFFFF"/>
                <w:sz w:val="27"/>
                <w:u w:val="none"/>
              </w:rPr>
              <w:t>06</w:t>
            </w:r>
          </w:p>
        </w:tc>
        <w:tc>
          <w:tcPr>
            <w:tcW w:type="dxa" w:w="9128"/>
            <w:shd w:val="clear" w:color="auto" w:fill="0C2340"/>
            <w:tcMar>
              <w:top w:w="95" w:type="dxa"/>
              <w:left w:w="190" w:type="dxa"/>
              <w:bottom w:w="95" w:type="dxa"/>
              <w:right w:w="150" w:type="dxa"/>
            </w:tcMar>
            <w:vAlign w:val="center"/>
          </w:tcPr>
          <w:p>
            <w:pPr>
              <w:keepNext/>
              <w:keepLines/>
              <w:pageBreakBefore w:val="0"/>
              <w:widowControl w:val="1"/>
              <w:spacing w:before="0" w:after="20"/>
            </w:pPr>
            <w:r>
              <w:rPr>
                <w:rFonts w:ascii="Calibri" w:hAnsi="Calibri" w:cs="Calibri" w:eastAsia="Calibri"/>
                <w:b/>
                <w:i w:val="0"/>
                <w:caps w:val="1"/>
                <w:color w:val="FFFFFF"/>
                <w:spacing w:val="36"/>
                <w:sz w:val="25"/>
                <w:u w:val="none"/>
              </w:rPr>
              <w:t>Cash-flow projection</w:t>
            </w:r>
          </w:p>
          <w:p>
            <w:pPr>
              <w:keepNext/>
              <w:keepLines/>
              <w:pageBreakBefore w:val="0"/>
              <w:widowControl w:val="1"/>
              <w:spacing w:before="0" w:after="0"/>
            </w:pPr>
            <w:r>
              <w:rPr>
                <w:rFonts w:ascii="Calibri" w:hAnsi="Calibri" w:cs="Calibri" w:eastAsia="Calibri"/>
                <w:b w:val="0"/>
                <w:i w:val="0"/>
                <w:caps w:val="1"/>
                <w:color w:val="12B0CE"/>
                <w:spacing w:val="22"/>
                <w:sz w:val="14"/>
                <w:u w:val="none"/>
              </w:rPr>
              <w:t>Ten-year view</w:t>
            </w:r>
          </w:p>
        </w:tc>
      </w:tr>
    </w:tbl>
    <w:p>
      <w:pPr>
        <w:keepNext w:val="1"/>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Height w:val="3515" w:hRule="atLeast"/>
        </w:trPr>
        <w:tc>
          <w:tcPr>
            <w:tcW w:type="dxa" w:w="10091"/>
            <w:tcBorders>
              <w:top w:val="single" w:sz="4" w:space="0" w:color="C2CDDC"/>
              <w:left w:val="single" w:sz="4" w:space="0" w:color="C2CDDC"/>
              <w:bottom w:val="single" w:sz="4" w:space="0" w:color="C2CDDC"/>
              <w:right w:val="single" w:sz="4" w:space="0" w:color="C2CDDC"/>
            </w:tcBorders>
            <w:shd w:val="clear" w:color="auto" w:fill="F7F9FC"/>
            <w:tcMar>
              <w:top w:w="150" w:type="dxa"/>
              <w:left w:w="180" w:type="dxa"/>
              <w:bottom w:w="150" w:type="dxa"/>
              <w:right w:w="180" w:type="dxa"/>
            </w:tcMar>
            <w:vAlign w:val="center"/>
          </w:tcPr>
          <w:p>
            <w:pPr>
              <w:keepNext w:val="0"/>
              <w:keepLines/>
              <w:pageBreakBefore w:val="0"/>
              <w:widowControl w:val="1"/>
              <w:spacing w:before="0" w:after="60"/>
              <w:jc w:val="center"/>
            </w:pPr>
            <w:r>
              <w:rPr>
                <w:rFonts w:ascii="Calibri" w:hAnsi="Calibri" w:cs="Calibri" w:eastAsia="Calibri"/>
                <w:b/>
                <w:i w:val="0"/>
                <w:color w:val="0C2340"/>
                <w:sz w:val="18"/>
                <w:u w:val="none"/>
              </w:rPr>
              <w:t>Cumulative after-tax position</w:t>
            </w:r>
          </w:p>
          <w:p>
            <w:pPr>
              <w:keepNext w:val="0"/>
              <w:keepLines/>
              <w:pageBreakBefore w:val="0"/>
              <w:widowControl w:val="1"/>
              <w:spacing w:before="0" w:after="60"/>
              <w:jc w:val="center"/>
            </w:pPr>
            <w:r>
              <w:rPr>
                <w:rFonts w:ascii="Calibri" w:hAnsi="Calibri" w:cs="Calibri" w:eastAsia="Calibri"/>
                <w:b/>
                <w:i w:val="0"/>
                <w:caps w:val="1"/>
                <w:color w:val="12B0CE"/>
                <w:spacing w:val="36"/>
                <w:sz w:val="15"/>
                <w:u w:val="none"/>
              </w:rPr>
              <w:t>[  LINE CHART  ]</w:t>
            </w:r>
          </w:p>
          <w:p>
            <w:pPr>
              <w:keepNext/>
              <w:keepLines/>
              <w:pageBreakBefore w:val="0"/>
              <w:widowControl w:val="1"/>
              <w:spacing w:before="0" w:after="0"/>
              <w:jc w:val="center"/>
            </w:pPr>
            <w:r>
              <w:rPr>
                <w:rFonts w:ascii="Calibri" w:hAnsi="Calibri" w:cs="Calibri" w:eastAsia="Calibri"/>
                <w:b w:val="0"/>
                <w:i w:val="0"/>
                <w:color w:val="8493A8"/>
                <w:sz w:val="14"/>
                <w:u w:val="none"/>
              </w:rPr>
              <w:t>{{cashflow.series}}</w:t>
            </w:r>
          </w:p>
        </w:tc>
      </w:tr>
    </w:tbl>
    <w:p>
      <w:pPr>
        <w:keepNext w:val="0"/>
        <w:keepLines/>
        <w:pageBreakBefore w:val="0"/>
        <w:widowControl w:val="1"/>
        <w:spacing w:before="80" w:after="0" w:line="298" w:lineRule="auto"/>
      </w:pPr>
      <w:r>
        <w:rPr>
          <w:rFonts w:ascii="Calibri" w:hAnsi="Calibri" w:cs="Calibri" w:eastAsia="Calibri"/>
          <w:b w:val="0"/>
          <w:i/>
          <w:color w:val="8493A8"/>
          <w:sz w:val="14"/>
          <w:u w:val="none"/>
        </w:rPr>
        <w:t>Ten years, nominal   ·   Source: Aurixa cash-flow model   ·   Alt text: Cumulative after-tax net position turns positive in year six</w:t>
      </w:r>
    </w:p>
    <w:p>
      <w:pPr>
        <w:keepNext w:val="0"/>
        <w:keepLines/>
        <w:pageBreakBefore w:val="0"/>
        <w:widowControl w:val="1"/>
        <w:spacing w:before="0" w:after="0" w:line="108"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4" w:space="0" w:color="DCE3ED"/>
              <w:left w:val="single" w:sz="18" w:space="0" w:color="12B0CE"/>
              <w:bottom w:val="single" w:sz="4" w:space="0" w:color="DCE3ED"/>
              <w:right w:val="single" w:sz="4" w:space="0" w:color="DCE3ED"/>
            </w:tcBorders>
            <w:shd w:val="clear" w:color="auto" w:fill="F7F9FC"/>
            <w:tcMar>
              <w:top w:w="171" w:type="dxa"/>
              <w:left w:w="199" w:type="dxa"/>
              <w:bottom w:w="171" w:type="dxa"/>
              <w:right w:w="199" w:type="dxa"/>
            </w:tcMar>
          </w:tcPr>
          <w:p>
            <w:pPr>
              <w:keepNext/>
              <w:keepLines/>
              <w:pageBreakBefore w:val="0"/>
              <w:widowControl w:val="1"/>
              <w:spacing w:before="0" w:after="80"/>
            </w:pPr>
            <w:r>
              <w:rPr>
                <w:rFonts w:ascii="Calibri" w:hAnsi="Calibri" w:cs="Calibri" w:eastAsia="Calibri"/>
                <w:b/>
                <w:i w:val="0"/>
                <w:caps w:val="1"/>
                <w:color w:val="12B0CE"/>
                <w:spacing w:val="28"/>
                <w:sz w:val="15"/>
                <w:u w:val="none"/>
              </w:rPr>
              <w:t>Projection assumptions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923"/>
              <w:gridCol w:w="2884"/>
              <w:gridCol w:w="1923"/>
              <w:gridCol w:w="2884"/>
            </w:tblGrid>
            <w:tr>
              <w:trPr>
                <w:cantSplit/>
                <w:trHeight w:val="431" w:hRule="atLeast"/>
              </w:trPr>
              <w:tc>
                <w:tcPr>
                  <w:tcW w:type="dxa" w:w="1923"/>
                  <w:tcBorders>
                    <w:top w:val="single" w:sz="4" w:space="0" w:color="FFFFFF"/>
                    <w:left w:val="nil"/>
                    <w:bottom w:val="single" w:sz="4" w:space="0" w:color="FFFFFF"/>
                    <w:right w:val="nil"/>
                  </w:tcBorders>
                  <w:shd w:val="clear" w:color="auto" w:fill="EDF1F7"/>
                  <w:tcMar>
                    <w:top w:w="95" w:type="dxa"/>
                    <w:left w:w="133" w:type="dxa"/>
                    <w:bottom w:w="95" w:type="dxa"/>
                    <w:right w:w="13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Capital growth</w:t>
                  </w:r>
                </w:p>
              </w:tc>
              <w:tc>
                <w:tcPr>
                  <w:tcW w:type="dxa" w:w="2884"/>
                  <w:tcBorders>
                    <w:top w:val="single" w:sz="4" w:space="0" w:color="FFFFFF"/>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4.5% p.a.</w:t>
                  </w:r>
                </w:p>
              </w:tc>
              <w:tc>
                <w:tcPr>
                  <w:tcW w:type="dxa" w:w="1923"/>
                  <w:tcBorders>
                    <w:top w:val="single" w:sz="4" w:space="0" w:color="FFFFFF"/>
                    <w:left w:val="nil"/>
                    <w:bottom w:val="single" w:sz="4" w:space="0" w:color="FFFFFF"/>
                    <w:right w:val="nil"/>
                  </w:tcBorders>
                  <w:shd w:val="clear" w:color="auto" w:fill="EDF1F7"/>
                  <w:tcMar>
                    <w:top w:w="95" w:type="dxa"/>
                    <w:left w:w="133" w:type="dxa"/>
                    <w:bottom w:w="95" w:type="dxa"/>
                    <w:right w:w="13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Rental growth</w:t>
                  </w:r>
                </w:p>
              </w:tc>
              <w:tc>
                <w:tcPr>
                  <w:tcW w:type="dxa" w:w="2884"/>
                  <w:tcBorders>
                    <w:top w:val="single" w:sz="4" w:space="0" w:color="FFFFFF"/>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3.0% p.a.</w:t>
                  </w:r>
                </w:p>
              </w:tc>
            </w:tr>
            <w:tr>
              <w:trPr>
                <w:cantSplit/>
                <w:trHeight w:val="431" w:hRule="atLeast"/>
              </w:trPr>
              <w:tc>
                <w:tcPr>
                  <w:tcW w:type="dxa" w:w="1923"/>
                  <w:tcBorders>
                    <w:top w:val="single" w:sz="4" w:space="0" w:color="FFFFFF"/>
                    <w:left w:val="nil"/>
                    <w:bottom w:val="single" w:sz="4" w:space="0" w:color="FFFFFF"/>
                    <w:right w:val="nil"/>
                  </w:tcBorders>
                  <w:shd w:val="clear" w:color="auto" w:fill="EDF1F7"/>
                  <w:tcMar>
                    <w:top w:w="95" w:type="dxa"/>
                    <w:left w:w="133" w:type="dxa"/>
                    <w:bottom w:w="95" w:type="dxa"/>
                    <w:right w:w="13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Interest rate</w:t>
                  </w:r>
                </w:p>
              </w:tc>
              <w:tc>
                <w:tcPr>
                  <w:tcW w:type="dxa" w:w="2884"/>
                  <w:tcBorders>
                    <w:top w:val="single" w:sz="4" w:space="0" w:color="FFFFFF"/>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6.40%, interest only 5 years</w:t>
                  </w:r>
                </w:p>
              </w:tc>
              <w:tc>
                <w:tcPr>
                  <w:tcW w:type="dxa" w:w="1923"/>
                  <w:tcBorders>
                    <w:top w:val="single" w:sz="4" w:space="0" w:color="FFFFFF"/>
                    <w:left w:val="nil"/>
                    <w:bottom w:val="single" w:sz="4" w:space="0" w:color="FFFFFF"/>
                    <w:right w:val="nil"/>
                  </w:tcBorders>
                  <w:shd w:val="clear" w:color="auto" w:fill="EDF1F7"/>
                  <w:tcMar>
                    <w:top w:w="95" w:type="dxa"/>
                    <w:left w:w="133" w:type="dxa"/>
                    <w:bottom w:w="95" w:type="dxa"/>
                    <w:right w:w="13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Vacancy allowance</w:t>
                  </w:r>
                </w:p>
              </w:tc>
              <w:tc>
                <w:tcPr>
                  <w:tcW w:type="dxa" w:w="2884"/>
                  <w:tcBorders>
                    <w:top w:val="single" w:sz="4" w:space="0" w:color="FFFFFF"/>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2 weeks p.a.</w:t>
                  </w:r>
                </w:p>
              </w:tc>
            </w:tr>
            <w:tr>
              <w:trPr>
                <w:cantSplit/>
                <w:trHeight w:val="431" w:hRule="atLeast"/>
              </w:trPr>
              <w:tc>
                <w:tcPr>
                  <w:tcW w:type="dxa" w:w="1923"/>
                  <w:tcBorders>
                    <w:top w:val="single" w:sz="4" w:space="0" w:color="FFFFFF"/>
                    <w:left w:val="nil"/>
                    <w:bottom w:val="single" w:sz="4" w:space="0" w:color="FFFFFF"/>
                    <w:right w:val="nil"/>
                  </w:tcBorders>
                  <w:shd w:val="clear" w:color="auto" w:fill="EDF1F7"/>
                  <w:tcMar>
                    <w:top w:w="95" w:type="dxa"/>
                    <w:left w:w="133" w:type="dxa"/>
                    <w:bottom w:w="95" w:type="dxa"/>
                    <w:right w:w="13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Marginal tax rate</w:t>
                  </w:r>
                </w:p>
              </w:tc>
              <w:tc>
                <w:tcPr>
                  <w:tcW w:type="dxa" w:w="2884"/>
                  <w:tcBorders>
                    <w:top w:val="single" w:sz="4" w:space="0" w:color="FFFFFF"/>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39% incl. Medicare</w:t>
                  </w:r>
                </w:p>
              </w:tc>
              <w:tc>
                <w:tcPr>
                  <w:tcW w:type="dxa" w:w="1923"/>
                  <w:tcBorders>
                    <w:top w:val="single" w:sz="4" w:space="0" w:color="FFFFFF"/>
                    <w:left w:val="nil"/>
                    <w:bottom w:val="single" w:sz="4" w:space="0" w:color="FFFFFF"/>
                    <w:right w:val="nil"/>
                  </w:tcBorders>
                  <w:shd w:val="clear" w:color="auto" w:fill="EDF1F7"/>
                  <w:tcMar>
                    <w:top w:w="95" w:type="dxa"/>
                    <w:left w:w="133" w:type="dxa"/>
                    <w:bottom w:w="95" w:type="dxa"/>
                    <w:right w:w="13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Depreciation</w:t>
                  </w:r>
                </w:p>
              </w:tc>
              <w:tc>
                <w:tcPr>
                  <w:tcW w:type="dxa" w:w="2884"/>
                  <w:tcBorders>
                    <w:top w:val="single" w:sz="4" w:space="0" w:color="FFFFFF"/>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Quantity surveyor estimate</w:t>
                  </w:r>
                </w:p>
              </w:tc>
            </w:tr>
          </w:tbl>
          <w:p/>
        </w:tc>
      </w:tr>
    </w:tbl>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964"/>
        <w:gridCol w:w="9128"/>
      </w:tblGrid>
      <w:tr>
        <w:trPr>
          <w:cantSplit/>
          <w:trHeight w:val="680" w:hRule="atLeast"/>
        </w:trPr>
        <w:tc>
          <w:tcPr>
            <w:tcW w:type="dxa" w:w="964"/>
            <w:shd w:val="clear" w:color="auto" w:fill="12B0CE"/>
            <w:tcMar>
              <w:top w:w="90" w:type="dxa"/>
              <w:left w:w="50" w:type="dxa"/>
              <w:bottom w:w="90" w:type="dxa"/>
              <w:right w:w="50" w:type="dxa"/>
            </w:tcMar>
            <w:vAlign w:val="center"/>
          </w:tcPr>
          <w:p>
            <w:pPr>
              <w:keepNext/>
              <w:keepLines/>
              <w:pageBreakBefore w:val="0"/>
              <w:widowControl w:val="1"/>
              <w:spacing w:before="0" w:after="0"/>
              <w:jc w:val="center"/>
            </w:pPr>
            <w:r>
              <w:rPr>
                <w:rFonts w:ascii="Calibri" w:hAnsi="Calibri" w:cs="Calibri" w:eastAsia="Calibri"/>
                <w:b/>
                <w:i w:val="0"/>
                <w:color w:val="FFFFFF"/>
                <w:sz w:val="27"/>
                <w:u w:val="none"/>
              </w:rPr>
              <w:t>07</w:t>
            </w:r>
          </w:p>
        </w:tc>
        <w:tc>
          <w:tcPr>
            <w:tcW w:type="dxa" w:w="9128"/>
            <w:shd w:val="clear" w:color="auto" w:fill="0C2340"/>
            <w:tcMar>
              <w:top w:w="95" w:type="dxa"/>
              <w:left w:w="190" w:type="dxa"/>
              <w:bottom w:w="95" w:type="dxa"/>
              <w:right w:w="150" w:type="dxa"/>
            </w:tcMar>
            <w:vAlign w:val="center"/>
          </w:tcPr>
          <w:p>
            <w:pPr>
              <w:keepNext/>
              <w:keepLines/>
              <w:pageBreakBefore w:val="0"/>
              <w:widowControl w:val="1"/>
              <w:spacing w:before="0" w:after="20"/>
            </w:pPr>
            <w:r>
              <w:rPr>
                <w:rFonts w:ascii="Calibri" w:hAnsi="Calibri" w:cs="Calibri" w:eastAsia="Calibri"/>
                <w:b/>
                <w:i w:val="0"/>
                <w:caps w:val="1"/>
                <w:color w:val="FFFFFF"/>
                <w:spacing w:val="36"/>
                <w:sz w:val="25"/>
                <w:u w:val="none"/>
              </w:rPr>
              <w:t>Comparable sales</w:t>
            </w:r>
          </w:p>
          <w:p>
            <w:pPr>
              <w:keepNext/>
              <w:keepLines/>
              <w:pageBreakBefore w:val="0"/>
              <w:widowControl w:val="1"/>
              <w:spacing w:before="0" w:after="0"/>
            </w:pPr>
            <w:r>
              <w:rPr>
                <w:rFonts w:ascii="Calibri" w:hAnsi="Calibri" w:cs="Calibri" w:eastAsia="Calibri"/>
                <w:b w:val="0"/>
                <w:i w:val="0"/>
                <w:caps w:val="1"/>
                <w:color w:val="12B0CE"/>
                <w:spacing w:val="22"/>
                <w:sz w:val="14"/>
                <w:u w:val="none"/>
              </w:rPr>
              <w:t>Evidence for the price</w:t>
            </w:r>
          </w:p>
        </w:tc>
      </w:tr>
    </w:tbl>
    <w:p>
      <w:pPr>
        <w:keepNext w:val="1"/>
        <w:keepLines/>
        <w:pageBreakBefore w:val="0"/>
        <w:widowControl w:val="1"/>
        <w:spacing w:before="0" w:after="0" w:line="18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8"/>
          <w:sz w:val="15"/>
          <w:u w:val="none"/>
        </w:rPr>
        <w:t>Recent comparable sales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Recent comparable sales"/>
        <w:tblDescription w:val="Columns: Address, Sold, Price, Land, Beds, Adjustment"/>
      </w:tblPr>
      <w:tblGrid>
        <w:gridCol w:w="2752"/>
        <w:gridCol w:w="1325"/>
        <w:gridCol w:w="1529"/>
        <w:gridCol w:w="1223"/>
        <w:gridCol w:w="917"/>
        <w:gridCol w:w="2344"/>
      </w:tblGrid>
      <w:tr>
        <w:trPr>
          <w:cantSplit/>
          <w:trHeight w:val="420" w:hRule="atLeast"/>
          <w:tblHeader/>
        </w:trPr>
        <w:tc>
          <w:tcPr>
            <w:tcW w:type="dxa" w:w="2752"/>
            <w:tcBorders>
              <w:top w:val="nil"/>
              <w:left w:val="nil"/>
              <w:bottom w:val="single" w:sz="8" w:space="0" w:color="12B0CE"/>
              <w:right w:val="nil"/>
            </w:tcBorders>
            <w:shd w:val="clear" w:color="auto" w:fill="0C2340"/>
            <w:tcMar>
              <w:top w:w="95" w:type="dxa"/>
              <w:left w:w="133" w:type="dxa"/>
              <w:bottom w:w="95" w:type="dxa"/>
              <w:right w:w="13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Address</w:t>
            </w:r>
          </w:p>
        </w:tc>
        <w:tc>
          <w:tcPr>
            <w:tcW w:type="dxa" w:w="1325"/>
            <w:tcBorders>
              <w:top w:val="nil"/>
              <w:left w:val="nil"/>
              <w:bottom w:val="single" w:sz="8" w:space="0" w:color="12B0CE"/>
              <w:right w:val="nil"/>
            </w:tcBorders>
            <w:shd w:val="clear" w:color="auto" w:fill="0C2340"/>
            <w:tcMar>
              <w:top w:w="95" w:type="dxa"/>
              <w:left w:w="133" w:type="dxa"/>
              <w:bottom w:w="95" w:type="dxa"/>
              <w:right w:w="13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Sold</w:t>
            </w:r>
          </w:p>
        </w:tc>
        <w:tc>
          <w:tcPr>
            <w:tcW w:type="dxa" w:w="1529"/>
            <w:tcBorders>
              <w:top w:val="nil"/>
              <w:left w:val="nil"/>
              <w:bottom w:val="single" w:sz="8" w:space="0" w:color="12B0CE"/>
              <w:right w:val="nil"/>
            </w:tcBorders>
            <w:shd w:val="clear" w:color="auto" w:fill="0C2340"/>
            <w:tcMar>
              <w:top w:w="95" w:type="dxa"/>
              <w:left w:w="133" w:type="dxa"/>
              <w:bottom w:w="95" w:type="dxa"/>
              <w:right w:w="133"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Price</w:t>
            </w:r>
          </w:p>
        </w:tc>
        <w:tc>
          <w:tcPr>
            <w:tcW w:type="dxa" w:w="1223"/>
            <w:tcBorders>
              <w:top w:val="nil"/>
              <w:left w:val="nil"/>
              <w:bottom w:val="single" w:sz="8" w:space="0" w:color="12B0CE"/>
              <w:right w:val="nil"/>
            </w:tcBorders>
            <w:shd w:val="clear" w:color="auto" w:fill="0C2340"/>
            <w:tcMar>
              <w:top w:w="95" w:type="dxa"/>
              <w:left w:w="133" w:type="dxa"/>
              <w:bottom w:w="95" w:type="dxa"/>
              <w:right w:w="13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Land</w:t>
            </w:r>
          </w:p>
        </w:tc>
        <w:tc>
          <w:tcPr>
            <w:tcW w:type="dxa" w:w="917"/>
            <w:tcBorders>
              <w:top w:val="nil"/>
              <w:left w:val="nil"/>
              <w:bottom w:val="single" w:sz="8" w:space="0" w:color="12B0CE"/>
              <w:right w:val="nil"/>
            </w:tcBorders>
            <w:shd w:val="clear" w:color="auto" w:fill="0C2340"/>
            <w:tcMar>
              <w:top w:w="95" w:type="dxa"/>
              <w:left w:w="133" w:type="dxa"/>
              <w:bottom w:w="95" w:type="dxa"/>
              <w:right w:w="13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Beds</w:t>
            </w:r>
          </w:p>
        </w:tc>
        <w:tc>
          <w:tcPr>
            <w:tcW w:type="dxa" w:w="2344"/>
            <w:tcBorders>
              <w:top w:val="nil"/>
              <w:left w:val="nil"/>
              <w:bottom w:val="single" w:sz="8" w:space="0" w:color="12B0CE"/>
              <w:right w:val="nil"/>
            </w:tcBorders>
            <w:shd w:val="clear" w:color="auto" w:fill="0C2340"/>
            <w:tcMar>
              <w:top w:w="95" w:type="dxa"/>
              <w:left w:w="133" w:type="dxa"/>
              <w:bottom w:w="95" w:type="dxa"/>
              <w:right w:w="13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Adjustment</w:t>
            </w:r>
          </w:p>
        </w:tc>
      </w:tr>
      <w:tr>
        <w:trPr>
          <w:cantSplit/>
          <w:trHeight w:val="397" w:hRule="atLeast"/>
        </w:trPr>
        <w:tc>
          <w:tcPr>
            <w:tcW w:type="dxa" w:w="2752"/>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8 Sample Avenue</w:t>
            </w:r>
          </w:p>
        </w:tc>
        <w:tc>
          <w:tcPr>
            <w:tcW w:type="dxa" w:w="1325"/>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Jun 2026</w:t>
            </w:r>
          </w:p>
        </w:tc>
        <w:tc>
          <w:tcPr>
            <w:tcW w:type="dxa" w:w="1529"/>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$872,000</w:t>
            </w:r>
          </w:p>
        </w:tc>
        <w:tc>
          <w:tcPr>
            <w:tcW w:type="dxa" w:w="1223"/>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498 m²</w:t>
            </w:r>
          </w:p>
        </w:tc>
        <w:tc>
          <w:tcPr>
            <w:tcW w:type="dxa" w:w="917"/>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3</w:t>
            </w:r>
          </w:p>
        </w:tc>
        <w:tc>
          <w:tcPr>
            <w:tcW w:type="dxa" w:w="2344"/>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−$10,000 (condition)</w:t>
            </w:r>
          </w:p>
        </w:tc>
      </w:tr>
      <w:tr>
        <w:trPr>
          <w:cantSplit/>
          <w:trHeight w:val="397" w:hRule="atLeast"/>
        </w:trPr>
        <w:tc>
          <w:tcPr>
            <w:tcW w:type="dxa" w:w="2752"/>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21 Test Road</w:t>
            </w:r>
          </w:p>
        </w:tc>
        <w:tc>
          <w:tcPr>
            <w:tcW w:type="dxa" w:w="1325"/>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May 2026</w:t>
            </w:r>
          </w:p>
        </w:tc>
        <w:tc>
          <w:tcPr>
            <w:tcW w:type="dxa" w:w="1529"/>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$845,000</w:t>
            </w:r>
          </w:p>
        </w:tc>
        <w:tc>
          <w:tcPr>
            <w:tcW w:type="dxa" w:w="1223"/>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521 m²</w:t>
            </w:r>
          </w:p>
        </w:tc>
        <w:tc>
          <w:tcPr>
            <w:tcW w:type="dxa" w:w="917"/>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3</w:t>
            </w:r>
          </w:p>
        </w:tc>
        <w:tc>
          <w:tcPr>
            <w:tcW w:type="dxa" w:w="2344"/>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+$15,000 (position)</w:t>
            </w:r>
          </w:p>
        </w:tc>
      </w:tr>
      <w:tr>
        <w:trPr>
          <w:cantSplit/>
          <w:trHeight w:val="397" w:hRule="atLeast"/>
        </w:trPr>
        <w:tc>
          <w:tcPr>
            <w:tcW w:type="dxa" w:w="2752"/>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4 Example Street</w:t>
            </w:r>
          </w:p>
        </w:tc>
        <w:tc>
          <w:tcPr>
            <w:tcW w:type="dxa" w:w="1325"/>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Apr 2026</w:t>
            </w:r>
          </w:p>
        </w:tc>
        <w:tc>
          <w:tcPr>
            <w:tcW w:type="dxa" w:w="1529"/>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$910,000</w:t>
            </w:r>
          </w:p>
        </w:tc>
        <w:tc>
          <w:tcPr>
            <w:tcW w:type="dxa" w:w="1223"/>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540 m²</w:t>
            </w:r>
          </w:p>
        </w:tc>
        <w:tc>
          <w:tcPr>
            <w:tcW w:type="dxa" w:w="917"/>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4</w:t>
            </w:r>
          </w:p>
        </w:tc>
        <w:tc>
          <w:tcPr>
            <w:tcW w:type="dxa" w:w="2344"/>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−$45,000 (size)</w:t>
            </w:r>
          </w:p>
        </w:tc>
      </w:tr>
      <w:tr>
        <w:trPr>
          <w:cantSplit/>
          <w:trHeight w:val="397" w:hRule="atLeast"/>
        </w:trPr>
        <w:tc>
          <w:tcPr>
            <w:tcW w:type="dxa" w:w="2752"/>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keepLines/>
              <w:pageBreakBefore w:val="0"/>
              <w:widowControl w:val="1"/>
              <w:spacing w:before="0" w:after="0" w:line="293" w:lineRule="auto"/>
            </w:pPr>
            <w:r>
              <w:rPr>
                <w:rFonts w:ascii="Calibri" w:hAnsi="Calibri" w:cs="Calibri" w:eastAsia="Calibri"/>
                <w:b w:val="0"/>
                <w:i w:val="0"/>
                <w:color w:val="10192A"/>
                <w:sz w:val="17"/>
                <w:u w:val="none"/>
              </w:rPr>
              <w:t>17 Demo Close</w:t>
            </w:r>
          </w:p>
        </w:tc>
        <w:tc>
          <w:tcPr>
            <w:tcW w:type="dxa" w:w="1325"/>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keepLines/>
              <w:pageBreakBefore w:val="0"/>
              <w:widowControl w:val="1"/>
              <w:spacing w:before="0" w:after="0" w:line="293" w:lineRule="auto"/>
            </w:pPr>
            <w:r>
              <w:rPr>
                <w:rFonts w:ascii="Calibri" w:hAnsi="Calibri" w:cs="Calibri" w:eastAsia="Calibri"/>
                <w:b w:val="0"/>
                <w:i w:val="0"/>
                <w:color w:val="10192A"/>
                <w:sz w:val="17"/>
                <w:u w:val="none"/>
              </w:rPr>
              <w:t>Mar 2026</w:t>
            </w:r>
          </w:p>
        </w:tc>
        <w:tc>
          <w:tcPr>
            <w:tcW w:type="dxa" w:w="1529"/>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keepLines/>
              <w:pageBreakBefore w:val="0"/>
              <w:widowControl w:val="1"/>
              <w:spacing w:before="0" w:after="0" w:line="293" w:lineRule="auto"/>
              <w:jc w:val="right"/>
            </w:pPr>
            <w:r>
              <w:rPr>
                <w:rFonts w:ascii="Calibri" w:hAnsi="Calibri" w:cs="Calibri" w:eastAsia="Calibri"/>
                <w:b w:val="0"/>
                <w:i w:val="0"/>
                <w:color w:val="10192A"/>
                <w:sz w:val="17"/>
                <w:u w:val="none"/>
              </w:rPr>
              <w:t>$838,000</w:t>
            </w:r>
          </w:p>
        </w:tc>
        <w:tc>
          <w:tcPr>
            <w:tcW w:type="dxa" w:w="1223"/>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keepLines/>
              <w:pageBreakBefore w:val="0"/>
              <w:widowControl w:val="1"/>
              <w:spacing w:before="0" w:after="0" w:line="293" w:lineRule="auto"/>
            </w:pPr>
            <w:r>
              <w:rPr>
                <w:rFonts w:ascii="Calibri" w:hAnsi="Calibri" w:cs="Calibri" w:eastAsia="Calibri"/>
                <w:b w:val="0"/>
                <w:i w:val="0"/>
                <w:color w:val="10192A"/>
                <w:sz w:val="17"/>
                <w:u w:val="none"/>
              </w:rPr>
              <w:t>486 m²</w:t>
            </w:r>
          </w:p>
        </w:tc>
        <w:tc>
          <w:tcPr>
            <w:tcW w:type="dxa" w:w="917"/>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keepLines/>
              <w:pageBreakBefore w:val="0"/>
              <w:widowControl w:val="1"/>
              <w:spacing w:before="0" w:after="0" w:line="293" w:lineRule="auto"/>
            </w:pPr>
            <w:r>
              <w:rPr>
                <w:rFonts w:ascii="Calibri" w:hAnsi="Calibri" w:cs="Calibri" w:eastAsia="Calibri"/>
                <w:b w:val="0"/>
                <w:i w:val="0"/>
                <w:color w:val="10192A"/>
                <w:sz w:val="17"/>
                <w:u w:val="none"/>
              </w:rPr>
              <w:t>3</w:t>
            </w:r>
          </w:p>
        </w:tc>
        <w:tc>
          <w:tcPr>
            <w:tcW w:type="dxa" w:w="2344"/>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keepLines/>
              <w:pageBreakBefore w:val="0"/>
              <w:widowControl w:val="1"/>
              <w:spacing w:before="0" w:after="0" w:line="293" w:lineRule="auto"/>
            </w:pPr>
            <w:r>
              <w:rPr>
                <w:rFonts w:ascii="Calibri" w:hAnsi="Calibri" w:cs="Calibri" w:eastAsia="Calibri"/>
                <w:b w:val="0"/>
                <w:i w:val="0"/>
                <w:color w:val="10192A"/>
                <w:sz w:val="17"/>
                <w:u w:val="none"/>
              </w:rPr>
              <w:t>+$22,000 (renovated)</w:t>
            </w:r>
          </w:p>
        </w:tc>
      </w:tr>
    </w:tbl>
    <w:p>
      <w:pPr>
        <w:keepNext w:val="0"/>
        <w:keepLines/>
        <w:pageBreakBefore w:val="0"/>
        <w:widowControl w:val="1"/>
        <w:spacing w:before="80" w:after="0" w:line="298" w:lineRule="auto"/>
      </w:pPr>
      <w:r>
        <w:rPr>
          <w:rFonts w:ascii="Calibri" w:hAnsi="Calibri" w:cs="Calibri" w:eastAsia="Calibri"/>
          <w:b w:val="0"/>
          <w:i/>
          <w:color w:val="8493A8"/>
          <w:sz w:val="14"/>
          <w:u w:val="none"/>
        </w:rPr>
        <w:t>Adjustments are the analyst's assessment relative to the subject property.</w:t>
      </w:r>
    </w:p>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964"/>
        <w:gridCol w:w="9128"/>
      </w:tblGrid>
      <w:tr>
        <w:trPr>
          <w:cantSplit/>
          <w:trHeight w:val="680" w:hRule="atLeast"/>
        </w:trPr>
        <w:tc>
          <w:tcPr>
            <w:tcW w:type="dxa" w:w="964"/>
            <w:shd w:val="clear" w:color="auto" w:fill="12B0CE"/>
            <w:tcMar>
              <w:top w:w="90" w:type="dxa"/>
              <w:left w:w="50" w:type="dxa"/>
              <w:bottom w:w="90" w:type="dxa"/>
              <w:right w:w="50" w:type="dxa"/>
            </w:tcMar>
            <w:vAlign w:val="center"/>
          </w:tcPr>
          <w:p>
            <w:pPr>
              <w:keepNext/>
              <w:keepLines/>
              <w:pageBreakBefore w:val="0"/>
              <w:widowControl w:val="1"/>
              <w:spacing w:before="0" w:after="0"/>
              <w:jc w:val="center"/>
            </w:pPr>
            <w:r>
              <w:rPr>
                <w:rFonts w:ascii="Calibri" w:hAnsi="Calibri" w:cs="Calibri" w:eastAsia="Calibri"/>
                <w:b/>
                <w:i w:val="0"/>
                <w:color w:val="FFFFFF"/>
                <w:sz w:val="27"/>
                <w:u w:val="none"/>
              </w:rPr>
              <w:t>08</w:t>
            </w:r>
          </w:p>
        </w:tc>
        <w:tc>
          <w:tcPr>
            <w:tcW w:type="dxa" w:w="9128"/>
            <w:shd w:val="clear" w:color="auto" w:fill="0C2340"/>
            <w:tcMar>
              <w:top w:w="95" w:type="dxa"/>
              <w:left w:w="190" w:type="dxa"/>
              <w:bottom w:w="95" w:type="dxa"/>
              <w:right w:w="150" w:type="dxa"/>
            </w:tcMar>
            <w:vAlign w:val="center"/>
          </w:tcPr>
          <w:p>
            <w:pPr>
              <w:keepNext/>
              <w:keepLines/>
              <w:pageBreakBefore w:val="0"/>
              <w:widowControl w:val="1"/>
              <w:spacing w:before="0" w:after="20"/>
            </w:pPr>
            <w:r>
              <w:rPr>
                <w:rFonts w:ascii="Calibri" w:hAnsi="Calibri" w:cs="Calibri" w:eastAsia="Calibri"/>
                <w:b/>
                <w:i w:val="0"/>
                <w:caps w:val="1"/>
                <w:color w:val="FFFFFF"/>
                <w:spacing w:val="36"/>
                <w:sz w:val="25"/>
                <w:u w:val="none"/>
              </w:rPr>
              <w:t>Risks &amp; mitigations</w:t>
            </w:r>
          </w:p>
          <w:p>
            <w:pPr>
              <w:keepNext/>
              <w:keepLines/>
              <w:pageBreakBefore w:val="0"/>
              <w:widowControl w:val="1"/>
              <w:spacing w:before="0" w:after="0"/>
            </w:pPr>
            <w:r>
              <w:rPr>
                <w:rFonts w:ascii="Calibri" w:hAnsi="Calibri" w:cs="Calibri" w:eastAsia="Calibri"/>
                <w:b w:val="0"/>
                <w:i w:val="0"/>
                <w:caps w:val="1"/>
                <w:color w:val="12B0CE"/>
                <w:spacing w:val="22"/>
                <w:sz w:val="14"/>
                <w:u w:val="none"/>
              </w:rPr>
              <w:t>What could go wrong</w:t>
            </w:r>
          </w:p>
        </w:tc>
      </w:tr>
    </w:tbl>
    <w:p>
      <w:pPr>
        <w:keepNext w:val="1"/>
        <w:keepLines/>
        <w:pageBreakBefore w:val="0"/>
        <w:widowControl w:val="1"/>
        <w:spacing w:before="0" w:after="0" w:line="180" w:lineRule="exact"/>
      </w:pPr>
      <w:r>
        <w:rPr>
          <w:sz w:val="2"/>
        </w:rPr>
      </w:r>
    </w:p>
    <w:p>
      <w:pPr>
        <w:keepNext/>
        <w:keepLines/>
        <w:pageBreakBefore w:val="0"/>
        <w:widowControl w:val="1"/>
        <w:spacing w:before="0" w:after="80"/>
      </w:pPr>
      <w:r>
        <w:rPr>
          <w:rFonts w:ascii="Calibri" w:hAnsi="Calibri" w:cs="Calibri" w:eastAsia="Calibri"/>
          <w:b/>
          <w:i w:val="0"/>
          <w:caps w:val="1"/>
          <w:color w:val="B3261E"/>
          <w:spacing w:val="28"/>
          <w:sz w:val="15"/>
          <w:u w:val="none"/>
        </w:rPr>
        <w:t>Risks and mitigations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Risks and mitigations"/>
        <w:tblDescription w:val="Columns: Risk, Severity, Mitigation"/>
      </w:tblPr>
      <w:tblGrid>
        <w:gridCol w:w="4037"/>
        <w:gridCol w:w="1413"/>
        <w:gridCol w:w="4642"/>
      </w:tblGrid>
      <w:tr>
        <w:trPr>
          <w:cantSplit/>
          <w:tblHeader/>
        </w:trPr>
        <w:tc>
          <w:tcPr>
            <w:tcW w:type="dxa" w:w="4037"/>
            <w:tcBorders>
              <w:top w:val="nil"/>
              <w:left w:val="nil"/>
              <w:bottom w:val="single" w:sz="8" w:space="0" w:color="12B0CE"/>
              <w:right w:val="nil"/>
            </w:tcBorders>
            <w:shd w:val="clear" w:color="auto" w:fill="0C2340"/>
            <w:tcMar>
              <w:top w:w="95" w:type="dxa"/>
              <w:left w:w="133" w:type="dxa"/>
              <w:bottom w:w="95" w:type="dxa"/>
              <w:right w:w="133" w:type="dxa"/>
            </w:tcMar>
          </w:tcPr>
          <w:p>
            <w:pPr>
              <w:keepNext w:val="0"/>
              <w:keepLines/>
              <w:pageBreakBefore w:val="0"/>
              <w:widowControl w:val="1"/>
              <w:spacing w:before="0" w:after="0"/>
            </w:pPr>
            <w:r>
              <w:rPr>
                <w:rFonts w:ascii="Calibri" w:hAnsi="Calibri" w:cs="Calibri" w:eastAsia="Calibri"/>
                <w:b/>
                <w:i w:val="0"/>
                <w:caps w:val="1"/>
                <w:color w:val="FFFFFF"/>
                <w:spacing w:val="22"/>
                <w:sz w:val="15"/>
                <w:u w:val="none"/>
              </w:rPr>
              <w:t>Risk</w:t>
            </w:r>
          </w:p>
        </w:tc>
        <w:tc>
          <w:tcPr>
            <w:tcW w:type="dxa" w:w="1413"/>
            <w:tcBorders>
              <w:top w:val="nil"/>
              <w:left w:val="nil"/>
              <w:bottom w:val="single" w:sz="8" w:space="0" w:color="12B0CE"/>
              <w:right w:val="nil"/>
            </w:tcBorders>
            <w:shd w:val="clear" w:color="auto" w:fill="0C2340"/>
            <w:tcMar>
              <w:top w:w="95" w:type="dxa"/>
              <w:left w:w="133" w:type="dxa"/>
              <w:bottom w:w="95" w:type="dxa"/>
              <w:right w:w="133" w:type="dxa"/>
            </w:tcMar>
          </w:tcPr>
          <w:p>
            <w:pPr>
              <w:keepNext w:val="0"/>
              <w:keepLines/>
              <w:pageBreakBefore w:val="0"/>
              <w:widowControl w:val="1"/>
              <w:spacing w:before="0" w:after="0"/>
            </w:pPr>
            <w:r>
              <w:rPr>
                <w:rFonts w:ascii="Calibri" w:hAnsi="Calibri" w:cs="Calibri" w:eastAsia="Calibri"/>
                <w:b/>
                <w:i w:val="0"/>
                <w:caps w:val="1"/>
                <w:color w:val="FFFFFF"/>
                <w:spacing w:val="22"/>
                <w:sz w:val="15"/>
                <w:u w:val="none"/>
              </w:rPr>
              <w:t>Severity</w:t>
            </w:r>
          </w:p>
        </w:tc>
        <w:tc>
          <w:tcPr>
            <w:tcW w:type="dxa" w:w="4642"/>
            <w:tcBorders>
              <w:top w:val="nil"/>
              <w:left w:val="nil"/>
              <w:bottom w:val="single" w:sz="8" w:space="0" w:color="12B0CE"/>
              <w:right w:val="nil"/>
            </w:tcBorders>
            <w:shd w:val="clear" w:color="auto" w:fill="0C2340"/>
            <w:tcMar>
              <w:top w:w="95" w:type="dxa"/>
              <w:left w:w="133" w:type="dxa"/>
              <w:bottom w:w="95" w:type="dxa"/>
              <w:right w:w="133" w:type="dxa"/>
            </w:tcMar>
          </w:tcPr>
          <w:p>
            <w:pPr>
              <w:keepNext w:val="0"/>
              <w:keepLines/>
              <w:pageBreakBefore w:val="0"/>
              <w:widowControl w:val="1"/>
              <w:spacing w:before="0" w:after="0"/>
            </w:pPr>
            <w:r>
              <w:rPr>
                <w:rFonts w:ascii="Calibri" w:hAnsi="Calibri" w:cs="Calibri" w:eastAsia="Calibri"/>
                <w:b/>
                <w:i w:val="0"/>
                <w:caps w:val="1"/>
                <w:color w:val="FFFFFF"/>
                <w:spacing w:val="22"/>
                <w:sz w:val="15"/>
                <w:u w:val="none"/>
              </w:rPr>
              <w:t>Mitigation</w:t>
            </w:r>
          </w:p>
        </w:tc>
      </w:tr>
      <w:tr>
        <w:trPr>
          <w:cantSplit/>
        </w:trPr>
        <w:tc>
          <w:tcPr>
            <w:tcW w:type="dxa" w:w="4037"/>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Rising damp to the rear wall requires remediation</w:t>
            </w:r>
          </w:p>
        </w:tc>
        <w:tc>
          <w:tcPr>
            <w:tcW w:type="dxa" w:w="1413"/>
            <w:tcBorders>
              <w:top w:val="nil"/>
              <w:left w:val="nil"/>
              <w:bottom w:val="single" w:sz="4" w:space="0" w:color="DCE3ED"/>
              <w:right w:val="nil"/>
            </w:tcBorders>
            <w:shd w:val="clear" w:color="auto" w:fill="FBF1E0"/>
            <w:tcMar>
              <w:top w:w="95" w:type="dxa"/>
              <w:left w:w="133" w:type="dxa"/>
              <w:bottom w:w="95" w:type="dxa"/>
              <w:right w:w="133" w:type="dxa"/>
            </w:tcMar>
            <w:vAlign w:val="top"/>
          </w:tcPr>
          <w:p>
            <w:pPr>
              <w:keepNext w:val="0"/>
              <w:keepLines/>
              <w:pageBreakBefore w:val="0"/>
              <w:widowControl w:val="1"/>
              <w:spacing w:before="0" w:after="0" w:line="298" w:lineRule="auto"/>
            </w:pPr>
            <w:r>
              <w:rPr>
                <w:rFonts w:ascii="Calibri" w:hAnsi="Calibri" w:cs="Calibri" w:eastAsia="Calibri"/>
                <w:b/>
                <w:i w:val="0"/>
                <w:color w:val="B26A00"/>
                <w:sz w:val="17"/>
                <w:u w:val="none"/>
              </w:rPr>
              <w:t>▲  MEDIUM</w:t>
            </w:r>
          </w:p>
        </w:tc>
        <w:tc>
          <w:tcPr>
            <w:tcW w:type="dxa" w:w="4642"/>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Obtain a fixed-price rectification quote and negotiate a price reduction of no less than the quoted amount before exchange.</w:t>
            </w:r>
          </w:p>
        </w:tc>
      </w:tr>
      <w:tr>
        <w:trPr>
          <w:cantSplit/>
        </w:trPr>
        <w:tc>
          <w:tcPr>
            <w:tcW w:type="dxa" w:w="4037"/>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Fixed tenancy expires in four months at below-market rent</w:t>
            </w:r>
          </w:p>
        </w:tc>
        <w:tc>
          <w:tcPr>
            <w:tcW w:type="dxa" w:w="1413"/>
            <w:tcBorders>
              <w:top w:val="nil"/>
              <w:left w:val="nil"/>
              <w:bottom w:val="single" w:sz="4" w:space="0" w:color="DCE3ED"/>
              <w:right w:val="nil"/>
            </w:tcBorders>
            <w:shd w:val="clear" w:color="auto" w:fill="E6F6EF"/>
            <w:tcMar>
              <w:top w:w="95" w:type="dxa"/>
              <w:left w:w="133" w:type="dxa"/>
              <w:bottom w:w="95" w:type="dxa"/>
              <w:right w:w="133" w:type="dxa"/>
            </w:tcMar>
            <w:vAlign w:val="top"/>
          </w:tcPr>
          <w:p>
            <w:pPr>
              <w:keepNext w:val="0"/>
              <w:keepLines/>
              <w:pageBreakBefore w:val="0"/>
              <w:widowControl w:val="1"/>
              <w:spacing w:before="0" w:after="0" w:line="298" w:lineRule="auto"/>
            </w:pPr>
            <w:r>
              <w:rPr>
                <w:rFonts w:ascii="Calibri" w:hAnsi="Calibri" w:cs="Calibri" w:eastAsia="Calibri"/>
                <w:b/>
                <w:i w:val="0"/>
                <w:color w:val="0F8A5F"/>
                <w:sz w:val="17"/>
                <w:u w:val="none"/>
              </w:rPr>
              <w:t>▲  LOW</w:t>
            </w:r>
          </w:p>
        </w:tc>
        <w:tc>
          <w:tcPr>
            <w:tcW w:type="dxa" w:w="4642"/>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Rent is $25/week below appraisal; re-letting at market improves yield. Budget two weeks vacancy at changeover.</w:t>
            </w:r>
          </w:p>
        </w:tc>
      </w:tr>
      <w:tr>
        <w:trPr>
          <w:cantSplit/>
        </w:trPr>
        <w:tc>
          <w:tcPr>
            <w:tcW w:type="dxa" w:w="4037"/>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Interest rates rise beyond the assumed 6.40%</w:t>
            </w:r>
          </w:p>
        </w:tc>
        <w:tc>
          <w:tcPr>
            <w:tcW w:type="dxa" w:w="1413"/>
            <w:tcBorders>
              <w:top w:val="nil"/>
              <w:left w:val="nil"/>
              <w:bottom w:val="single" w:sz="4" w:space="0" w:color="DCE3ED"/>
              <w:right w:val="nil"/>
            </w:tcBorders>
            <w:shd w:val="clear" w:color="auto" w:fill="FBF1E0"/>
            <w:tcMar>
              <w:top w:w="95" w:type="dxa"/>
              <w:left w:w="133" w:type="dxa"/>
              <w:bottom w:w="95" w:type="dxa"/>
              <w:right w:w="133" w:type="dxa"/>
            </w:tcMar>
            <w:vAlign w:val="top"/>
          </w:tcPr>
          <w:p>
            <w:pPr>
              <w:keepNext w:val="0"/>
              <w:keepLines/>
              <w:pageBreakBefore w:val="0"/>
              <w:widowControl w:val="1"/>
              <w:spacing w:before="0" w:after="0" w:line="298" w:lineRule="auto"/>
            </w:pPr>
            <w:r>
              <w:rPr>
                <w:rFonts w:ascii="Calibri" w:hAnsi="Calibri" w:cs="Calibri" w:eastAsia="Calibri"/>
                <w:b/>
                <w:i w:val="0"/>
                <w:color w:val="B26A00"/>
                <w:sz w:val="17"/>
                <w:u w:val="none"/>
              </w:rPr>
              <w:t>▲  MEDIUM</w:t>
            </w:r>
          </w:p>
        </w:tc>
        <w:tc>
          <w:tcPr>
            <w:tcW w:type="dxa" w:w="4642"/>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Position is stress-tested at +2%; holding cost rises to $214/week, which exceeds the client's stated budget.</w:t>
            </w:r>
          </w:p>
        </w:tc>
      </w:tr>
    </w:tbl>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964"/>
        <w:gridCol w:w="9128"/>
      </w:tblGrid>
      <w:tr>
        <w:trPr>
          <w:cantSplit/>
          <w:trHeight w:val="680" w:hRule="atLeast"/>
        </w:trPr>
        <w:tc>
          <w:tcPr>
            <w:tcW w:type="dxa" w:w="964"/>
            <w:shd w:val="clear" w:color="auto" w:fill="12B0CE"/>
            <w:tcMar>
              <w:top w:w="90" w:type="dxa"/>
              <w:left w:w="50" w:type="dxa"/>
              <w:bottom w:w="90" w:type="dxa"/>
              <w:right w:w="50" w:type="dxa"/>
            </w:tcMar>
            <w:vAlign w:val="center"/>
          </w:tcPr>
          <w:p>
            <w:pPr>
              <w:keepNext/>
              <w:keepLines/>
              <w:pageBreakBefore w:val="0"/>
              <w:widowControl w:val="1"/>
              <w:spacing w:before="0" w:after="0"/>
              <w:jc w:val="center"/>
            </w:pPr>
            <w:r>
              <w:rPr>
                <w:rFonts w:ascii="Calibri" w:hAnsi="Calibri" w:cs="Calibri" w:eastAsia="Calibri"/>
                <w:b/>
                <w:i w:val="0"/>
                <w:color w:val="FFFFFF"/>
                <w:sz w:val="27"/>
                <w:u w:val="none"/>
              </w:rPr>
              <w:t>09</w:t>
            </w:r>
          </w:p>
        </w:tc>
        <w:tc>
          <w:tcPr>
            <w:tcW w:type="dxa" w:w="9128"/>
            <w:shd w:val="clear" w:color="auto" w:fill="0C2340"/>
            <w:tcMar>
              <w:top w:w="95" w:type="dxa"/>
              <w:left w:w="190" w:type="dxa"/>
              <w:bottom w:w="95" w:type="dxa"/>
              <w:right w:w="150" w:type="dxa"/>
            </w:tcMar>
            <w:vAlign w:val="center"/>
          </w:tcPr>
          <w:p>
            <w:pPr>
              <w:keepNext/>
              <w:keepLines/>
              <w:pageBreakBefore w:val="0"/>
              <w:widowControl w:val="1"/>
              <w:spacing w:before="0" w:after="20"/>
            </w:pPr>
            <w:r>
              <w:rPr>
                <w:rFonts w:ascii="Calibri" w:hAnsi="Calibri" w:cs="Calibri" w:eastAsia="Calibri"/>
                <w:b/>
                <w:i w:val="0"/>
                <w:caps w:val="1"/>
                <w:color w:val="FFFFFF"/>
                <w:spacing w:val="36"/>
                <w:sz w:val="25"/>
                <w:u w:val="none"/>
              </w:rPr>
              <w:t>Recommendation</w:t>
            </w:r>
          </w:p>
          <w:p>
            <w:pPr>
              <w:keepNext/>
              <w:keepLines/>
              <w:pageBreakBefore w:val="0"/>
              <w:widowControl w:val="1"/>
              <w:spacing w:before="0" w:after="0"/>
            </w:pPr>
            <w:r>
              <w:rPr>
                <w:rFonts w:ascii="Calibri" w:hAnsi="Calibri" w:cs="Calibri" w:eastAsia="Calibri"/>
                <w:b w:val="0"/>
                <w:i w:val="0"/>
                <w:caps w:val="1"/>
                <w:color w:val="12B0CE"/>
                <w:spacing w:val="22"/>
                <w:sz w:val="14"/>
                <w:u w:val="none"/>
              </w:rPr>
              <w:t>The decision</w:t>
            </w:r>
          </w:p>
        </w:tc>
      </w:tr>
    </w:tbl>
    <w:p>
      <w:pPr>
        <w:keepNext w:val="1"/>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6" w:space="0" w:color="12B0CE"/>
              <w:left w:val="single" w:sz="26" w:space="0" w:color="12B0CE"/>
              <w:bottom w:val="single" w:sz="6" w:space="0" w:color="12B0CE"/>
              <w:right w:val="single" w:sz="6" w:space="0" w:color="12B0CE"/>
            </w:tcBorders>
            <w:shd w:val="clear" w:color="auto" w:fill="EEFAFC"/>
            <w:tcMar>
              <w:top w:w="171" w:type="dxa"/>
              <w:left w:w="199" w:type="dxa"/>
              <w:bottom w:w="171" w:type="dxa"/>
              <w:right w:w="199" w:type="dxa"/>
            </w:tcMar>
          </w:tcPr>
          <w:p>
            <w:pPr>
              <w:keepNext/>
              <w:keepLines/>
              <w:pageBreakBefore w:val="0"/>
              <w:widowControl w:val="1"/>
              <w:spacing w:before="0" w:after="100"/>
            </w:pPr>
            <w:r>
              <w:rPr>
                <w:rFonts w:ascii="Calibri" w:hAnsi="Calibri" w:cs="Calibri" w:eastAsia="Calibri"/>
                <w:b/>
                <w:i w:val="0"/>
                <w:caps w:val="1"/>
                <w:color w:val="12B0CE"/>
                <w:spacing w:val="28"/>
                <w:sz w:val="15"/>
                <w:u w:val="none"/>
              </w:rPr>
              <w:t>RECOMMENDATION</w:t>
            </w:r>
            <w:r>
              <w:rPr>
                <w:rFonts w:ascii="Calibri" w:hAnsi="Calibri" w:cs="Calibri" w:eastAsia="Calibri"/>
                <w:b/>
                <w:i w:val="0"/>
                <w:caps w:val="1"/>
                <w:color w:val="4C5B73"/>
                <w:spacing w:val="24"/>
                <w:sz w:val="14"/>
                <w:u w:val="none"/>
              </w:rPr>
              <w:t xml:space="preserve">     CONFIDENCE: HIGH</w:t>
            </w:r>
          </w:p>
          <w:p>
            <w:pPr>
              <w:keepNext w:val="0"/>
              <w:keepLines/>
              <w:pageBreakBefore w:val="0"/>
              <w:widowControl w:val="1"/>
              <w:spacing w:before="0" w:after="120" w:line="298" w:lineRule="auto"/>
            </w:pPr>
            <w:r>
              <w:rPr>
                <w:rFonts w:ascii="Calibri" w:hAnsi="Calibri" w:cs="Calibri" w:eastAsia="Calibri"/>
                <w:b/>
                <w:i w:val="0"/>
                <w:color w:val="0C2340"/>
                <w:sz w:val="22"/>
                <w:u w:val="none"/>
              </w:rPr>
              <w:t>Proceed to offer at or below $865,000, subject to building and pest, finance, and a price adjustment for damp remediation.</w:t>
            </w:r>
          </w:p>
          <w:p>
            <w:pPr>
              <w:keepNext w:val="0"/>
              <w:keepLines/>
              <w:pageBreakBefore w:val="0"/>
              <w:widowControl w:val="1"/>
              <w:spacing w:before="0" w:after="0" w:line="317" w:lineRule="auto"/>
            </w:pPr>
            <w:r>
              <w:rPr>
                <w:rFonts w:ascii="Calibri" w:hAnsi="Calibri" w:cs="Calibri" w:eastAsia="Calibri"/>
                <w:b w:val="0"/>
                <w:i w:val="0"/>
                <w:color w:val="10192A"/>
                <w:sz w:val="17"/>
                <w:u w:val="none"/>
              </w:rPr>
              <w:t>The property clears the yield and holding-cost thresholds set in the client brief, is supported by four adjusted comparable sales, and sits in a suburb with a ten-year growth record above the metropolitan average. The identified defects are quantifiable and are best dealt with as a price adjustment rather than a condition of the contract.</w:t>
            </w:r>
          </w:p>
          <w:p>
            <w:pPr>
              <w:keepNext w:val="0"/>
              <w:keepLines/>
              <w:pageBreakBefore w:val="0"/>
              <w:widowControl w:val="1"/>
              <w:spacing w:before="0" w:after="0" w:line="14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8"/>
                <w:sz w:val="15"/>
                <w:u w:val="none"/>
              </w:rPr>
              <w:t>Next steps</w:t>
            </w:r>
          </w:p>
          <w:p>
            <w:pPr>
              <w:keepNext w:val="0"/>
              <w:keepLines/>
              <w:pageBreakBefore w:val="0"/>
              <w:widowControl w:val="1"/>
              <w:tabs>
                <w:tab w:val="left" w:pos="320"/>
              </w:tabs>
              <w:spacing w:before="0" w:after="0" w:line="317" w:lineRule="auto"/>
              <w:ind w:left="320" w:hanging="320"/>
            </w:pPr>
            <w:r>
              <w:rPr>
                <w:rFonts w:ascii="Calibri" w:hAnsi="Calibri" w:cs="Calibri" w:eastAsia="Calibri"/>
                <w:b/>
                <w:i w:val="0"/>
                <w:color w:val="12B0CE"/>
                <w:sz w:val="19"/>
                <w:u w:val="none"/>
              </w:rPr>
              <w:t>1.</w:t>
            </w:r>
            <w:r>
              <w:rPr>
                <w:rFonts w:ascii="Calibri" w:hAnsi="Calibri" w:cs="Calibri" w:eastAsia="Calibri"/>
                <w:b w:val="0"/>
                <w:i w:val="0"/>
                <w:color w:val="10192A"/>
                <w:sz w:val="19"/>
                <w:u w:val="none"/>
              </w:rPr>
              <w:tab/>
              <w:t>Obtain a fixed-price damp rectification quote.</w:t>
            </w:r>
          </w:p>
          <w:p>
            <w:pPr>
              <w:keepNext w:val="0"/>
              <w:keepLines/>
              <w:pageBreakBefore w:val="0"/>
              <w:widowControl w:val="1"/>
              <w:tabs>
                <w:tab w:val="left" w:pos="320"/>
              </w:tabs>
              <w:spacing w:before="80" w:after="0" w:line="317" w:lineRule="auto"/>
              <w:ind w:left="320" w:hanging="320"/>
            </w:pPr>
            <w:r>
              <w:rPr>
                <w:rFonts w:ascii="Calibri" w:hAnsi="Calibri" w:cs="Calibri" w:eastAsia="Calibri"/>
                <w:b/>
                <w:i w:val="0"/>
                <w:color w:val="12B0CE"/>
                <w:sz w:val="19"/>
                <w:u w:val="none"/>
              </w:rPr>
              <w:t>2.</w:t>
            </w:r>
            <w:r>
              <w:rPr>
                <w:rFonts w:ascii="Calibri" w:hAnsi="Calibri" w:cs="Calibri" w:eastAsia="Calibri"/>
                <w:b w:val="0"/>
                <w:i w:val="0"/>
                <w:color w:val="10192A"/>
                <w:sz w:val="19"/>
                <w:u w:val="none"/>
              </w:rPr>
              <w:tab/>
              <w:t>Issue an offer at $865,000 less the quoted rectification amount.</w:t>
            </w:r>
          </w:p>
          <w:p>
            <w:pPr>
              <w:keepNext w:val="0"/>
              <w:keepLines/>
              <w:pageBreakBefore w:val="0"/>
              <w:widowControl w:val="1"/>
              <w:tabs>
                <w:tab w:val="left" w:pos="320"/>
              </w:tabs>
              <w:spacing w:before="80" w:after="0" w:line="317" w:lineRule="auto"/>
              <w:ind w:left="320" w:hanging="320"/>
            </w:pPr>
            <w:r>
              <w:rPr>
                <w:rFonts w:ascii="Calibri" w:hAnsi="Calibri" w:cs="Calibri" w:eastAsia="Calibri"/>
                <w:b/>
                <w:i w:val="0"/>
                <w:color w:val="12B0CE"/>
                <w:sz w:val="19"/>
                <w:u w:val="none"/>
              </w:rPr>
              <w:t>3.</w:t>
            </w:r>
            <w:r>
              <w:rPr>
                <w:rFonts w:ascii="Calibri" w:hAnsi="Calibri" w:cs="Calibri" w:eastAsia="Calibri"/>
                <w:b w:val="0"/>
                <w:i w:val="0"/>
                <w:color w:val="10192A"/>
                <w:sz w:val="19"/>
                <w:u w:val="none"/>
              </w:rPr>
              <w:tab/>
              <w:t>Confirm finance approval covers the adjusted purchase price.</w:t>
            </w:r>
          </w:p>
          <w:p>
            <w:pPr>
              <w:keepNext w:val="0"/>
              <w:keepLines/>
              <w:pageBreakBefore w:val="0"/>
              <w:widowControl w:val="1"/>
              <w:tabs>
                <w:tab w:val="left" w:pos="320"/>
              </w:tabs>
              <w:spacing w:before="80" w:after="0" w:line="317" w:lineRule="auto"/>
              <w:ind w:left="320" w:hanging="320"/>
            </w:pPr>
            <w:r>
              <w:rPr>
                <w:rFonts w:ascii="Calibri" w:hAnsi="Calibri" w:cs="Calibri" w:eastAsia="Calibri"/>
                <w:b/>
                <w:i w:val="0"/>
                <w:color w:val="12B0CE"/>
                <w:sz w:val="19"/>
                <w:u w:val="none"/>
              </w:rPr>
              <w:t>4.</w:t>
            </w:r>
            <w:r>
              <w:rPr>
                <w:rFonts w:ascii="Calibri" w:hAnsi="Calibri" w:cs="Calibri" w:eastAsia="Calibri"/>
                <w:b w:val="0"/>
                <w:i w:val="0"/>
                <w:color w:val="10192A"/>
                <w:sz w:val="19"/>
                <w:u w:val="none"/>
              </w:rPr>
              <w:tab/>
              <w:t>Instruct the conveyancer to review the residential tenancy agreement.</w:t>
            </w:r>
          </w:p>
        </w:tc>
      </w:tr>
    </w:tbl>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701"/>
        <w:gridCol w:w="8391"/>
      </w:tblGrid>
      <w:tr>
        <w:trPr>
          <w:cantSplit/>
        </w:trPr>
        <w:tc>
          <w:tcPr>
            <w:tcW w:type="dxa" w:w="1701"/>
            <w:tcBorders>
              <w:top w:val="single" w:sz="4" w:space="0" w:color="C2CDDC"/>
              <w:left w:val="single" w:sz="4" w:space="0" w:color="C2CDDC"/>
              <w:bottom w:val="single" w:sz="4" w:space="0" w:color="C2CDDC"/>
              <w:right w:val="single" w:sz="4" w:space="0" w:color="C2CDDC"/>
            </w:tcBorders>
            <w:shd w:val="clear" w:color="auto" w:fill="EDF1F7"/>
            <w:tcMar>
              <w:top w:w="400" w:type="dxa"/>
              <w:left w:w="90" w:type="dxa"/>
              <w:bottom w:w="400" w:type="dxa"/>
              <w:right w:w="90" w:type="dxa"/>
            </w:tcMar>
          </w:tcPr>
          <w:p>
            <w:pPr>
              <w:keepNext w:val="0"/>
              <w:keepLines/>
              <w:pageBreakBefore w:val="0"/>
              <w:widowControl w:val="1"/>
              <w:spacing w:before="0" w:after="0"/>
              <w:jc w:val="center"/>
            </w:pPr>
            <w:r>
              <w:rPr>
                <w:rFonts w:ascii="Calibri" w:hAnsi="Calibri" w:cs="Calibri" w:eastAsia="Calibri"/>
                <w:b/>
                <w:i w:val="0"/>
                <w:caps w:val="1"/>
                <w:color w:val="8493A8"/>
                <w:spacing w:val="24"/>
                <w:sz w:val="14"/>
                <w:u w:val="none"/>
              </w:rPr>
              <w:t>PHOTO</w:t>
            </w:r>
          </w:p>
        </w:tc>
        <w:tc>
          <w:tcPr>
            <w:tcW w:type="dxa" w:w="8391"/>
            <w:tcBorders>
              <w:top w:val="single" w:sz="4" w:space="0" w:color="DCE3ED"/>
              <w:left w:val="nil"/>
              <w:bottom w:val="single" w:sz="4" w:space="0" w:color="DCE3ED"/>
              <w:right w:val="single" w:sz="4" w:space="0" w:color="DCE3ED"/>
            </w:tcBorders>
            <w:shd w:val="clear" w:color="auto" w:fill="F7F9FC"/>
            <w:tcMar>
              <w:top w:w="171" w:type="dxa"/>
              <w:left w:w="199" w:type="dxa"/>
              <w:bottom w:w="171" w:type="dxa"/>
              <w:right w:w="199" w:type="dxa"/>
            </w:tcMar>
          </w:tcPr>
          <w:p>
            <w:pPr>
              <w:keepNext/>
              <w:keepLines/>
              <w:pageBreakBefore w:val="0"/>
              <w:widowControl w:val="1"/>
              <w:spacing w:before="0" w:after="80"/>
            </w:pPr>
            <w:r>
              <w:rPr>
                <w:rFonts w:ascii="Calibri" w:hAnsi="Calibri" w:cs="Calibri" w:eastAsia="Calibri"/>
                <w:b/>
                <w:i w:val="0"/>
                <w:caps w:val="1"/>
                <w:color w:val="12B0CE"/>
                <w:spacing w:val="28"/>
                <w:sz w:val="15"/>
                <w:u w:val="none"/>
              </w:rPr>
              <w:t>Your adviser</w:t>
            </w:r>
          </w:p>
          <w:p>
            <w:pPr>
              <w:keepNext w:val="0"/>
              <w:keepLines/>
              <w:pageBreakBefore w:val="0"/>
              <w:widowControl w:val="1"/>
              <w:spacing w:before="0" w:after="20"/>
            </w:pPr>
            <w:r>
              <w:rPr>
                <w:rFonts w:ascii="Calibri" w:hAnsi="Calibri" w:cs="Calibri" w:eastAsia="Calibri"/>
                <w:b/>
                <w:i w:val="0"/>
                <w:color w:val="0C2340"/>
                <w:sz w:val="21"/>
                <w:u w:val="none"/>
              </w:rPr>
              <w:t>A. Nguyen</w:t>
            </w:r>
          </w:p>
          <w:p>
            <w:pPr>
              <w:keepNext w:val="0"/>
              <w:keepLines/>
              <w:pageBreakBefore w:val="0"/>
              <w:widowControl w:val="1"/>
              <w:spacing w:before="0" w:after="100"/>
            </w:pPr>
            <w:r>
              <w:rPr>
                <w:rFonts w:ascii="Calibri" w:hAnsi="Calibri" w:cs="Calibri" w:eastAsia="Calibri"/>
                <w:b w:val="0"/>
                <w:i w:val="0"/>
                <w:color w:val="4C5B73"/>
                <w:sz w:val="17"/>
                <w:u w:val="none"/>
              </w:rPr>
              <w:t>Senior Adviser   ›   Licensed agent</w:t>
            </w:r>
          </w:p>
          <w:p>
            <w:pPr>
              <w:keepNext w:val="0"/>
              <w:keepLines/>
              <w:pageBreakBefore w:val="0"/>
              <w:widowControl w:val="1"/>
              <w:spacing w:before="0" w:after="0" w:line="317" w:lineRule="auto"/>
            </w:pPr>
            <w:r>
              <w:rPr>
                <w:rFonts w:ascii="Calibri" w:hAnsi="Calibri" w:cs="Calibri" w:eastAsia="Calibri"/>
                <w:b w:val="0"/>
                <w:i w:val="0"/>
                <w:color w:val="10192A"/>
                <w:sz w:val="17"/>
                <w:u w:val="none"/>
              </w:rPr>
              <w:t>Licensed buyer's agent specialising in established residential stock across the lower north shore.</w:t>
            </w:r>
          </w:p>
          <w:p>
            <w:pPr>
              <w:keepNext w:val="0"/>
              <w:keepLines/>
              <w:pageBreakBefore w:val="0"/>
              <w:widowControl w:val="1"/>
              <w:spacing w:before="0" w:after="0" w:line="100" w:lineRule="exact"/>
            </w:pPr>
            <w:r>
              <w:rPr>
                <w:sz w:val="2"/>
              </w:rPr>
            </w:r>
          </w:p>
          <w:p>
            <w:pPr>
              <w:keepNext w:val="0"/>
              <w:keepLines/>
              <w:pageBreakBefore w:val="0"/>
              <w:widowControl w:val="1"/>
              <w:spacing w:before="0" w:after="0" w:line="317" w:lineRule="auto"/>
              <w:ind w:left="200" w:hanging="200"/>
            </w:pPr>
            <w:r>
              <w:rPr>
                <w:rFonts w:ascii="Calibri" w:hAnsi="Calibri" w:cs="Calibri" w:eastAsia="Calibri"/>
                <w:b/>
                <w:i w:val="0"/>
                <w:color w:val="12B0CE"/>
                <w:sz w:val="17"/>
                <w:u w:val="none"/>
              </w:rPr>
              <w:t xml:space="preserve">•  </w:t>
            </w:r>
            <w:r>
              <w:rPr>
                <w:rFonts w:ascii="Calibri" w:hAnsi="Calibri" w:cs="Calibri" w:eastAsia="Calibri"/>
                <w:b w:val="0"/>
                <w:i w:val="0"/>
                <w:color w:val="10192A"/>
                <w:sz w:val="17"/>
                <w:u w:val="none"/>
              </w:rPr>
              <w:t>Licensed real estate agent (NSW)</w:t>
            </w:r>
          </w:p>
          <w:p>
            <w:pPr>
              <w:keepNext w:val="0"/>
              <w:keepLines/>
              <w:pageBreakBefore w:val="0"/>
              <w:widowControl w:val="1"/>
              <w:spacing w:before="80" w:after="0" w:line="317" w:lineRule="auto"/>
              <w:ind w:left="200" w:hanging="200"/>
            </w:pPr>
            <w:r>
              <w:rPr>
                <w:rFonts w:ascii="Calibri" w:hAnsi="Calibri" w:cs="Calibri" w:eastAsia="Calibri"/>
                <w:b/>
                <w:i w:val="0"/>
                <w:color w:val="12B0CE"/>
                <w:sz w:val="17"/>
                <w:u w:val="none"/>
              </w:rPr>
              <w:t xml:space="preserve">•  </w:t>
            </w:r>
            <w:r>
              <w:rPr>
                <w:rFonts w:ascii="Calibri" w:hAnsi="Calibri" w:cs="Calibri" w:eastAsia="Calibri"/>
                <w:b w:val="0"/>
                <w:i w:val="0"/>
                <w:color w:val="10192A"/>
                <w:sz w:val="17"/>
                <w:u w:val="none"/>
              </w:rPr>
              <w:t>Member, Real Estate Buyers Agents Association</w:t>
            </w:r>
          </w:p>
          <w:p>
            <w:pPr>
              <w:keepNext w:val="0"/>
              <w:keepLines/>
              <w:pageBreakBefore w:val="0"/>
              <w:widowControl w:val="1"/>
              <w:spacing w:before="120" w:after="0"/>
            </w:pPr>
            <w:r>
              <w:rPr>
                <w:rFonts w:ascii="Calibri" w:hAnsi="Calibri" w:cs="Calibri" w:eastAsia="Calibri"/>
                <w:b w:val="0"/>
                <w:i w:val="0"/>
                <w:color w:val="8493A8"/>
                <w:sz w:val="14"/>
                <w:u w:val="none"/>
              </w:rPr>
              <w:t>a.nguyen@example.com.au   ·   (02) 8000 1234</w:t>
            </w:r>
          </w:p>
        </w:tc>
      </w:tr>
    </w:tbl>
    <w:p>
      <w:pPr>
        <w:keepNext/>
        <w:keepLines/>
        <w:pageBreakBefore w:val="1"/>
        <w:widowControl w:val="1"/>
        <w:spacing w:before="0" w:after="80"/>
      </w:pPr>
      <w:r>
        <w:rPr>
          <w:rFonts w:ascii="Calibri" w:hAnsi="Calibri" w:cs="Calibri" w:eastAsia="Calibri"/>
          <w:b/>
          <w:i w:val="0"/>
          <w:caps w:val="1"/>
          <w:color w:val="12B0CE"/>
          <w:spacing w:val="52"/>
          <w:sz w:val="15"/>
          <w:u w:val="none"/>
        </w:rPr>
        <w:t>APPENDIX A</w:t>
      </w:r>
    </w:p>
    <w:p>
      <w:pPr>
        <w:keepNext/>
        <w:keepLines/>
        <w:pageBreakBefore w:val="0"/>
        <w:widowControl w:val="1"/>
        <w:spacing w:before="0" w:after="120"/>
      </w:pPr>
      <w:r>
        <w:rPr>
          <w:rFonts w:ascii="Calibri" w:hAnsi="Calibri" w:cs="Calibri" w:eastAsia="Calibri"/>
          <w:b/>
          <w:i w:val="0"/>
          <w:color w:val="0C2340"/>
          <w:sz w:val="34"/>
          <w:u w:val="none"/>
        </w:rPr>
        <w:t>Data sources &amp; provenance</w:t>
      </w:r>
    </w:p>
    <w:p>
      <w:pPr>
        <w:keepNext w:val="0"/>
        <w:keepLines/>
        <w:pageBreakBefore w:val="0"/>
        <w:widowControl w:val="1"/>
        <w:pBdr>
          <w:bottom w:val="single" w:sz="10" w:space="1" w:color="12B0CE"/>
        </w:pBdr>
        <w:spacing w:before="0" w:after="120" w:line="20" w:lineRule="exact"/>
      </w:pPr>
      <w:r>
        <w:rPr>
          <w:sz w:val="2"/>
        </w:rPr>
      </w:r>
    </w:p>
    <w:p>
      <w:pPr>
        <w:keepNext w:val="0"/>
        <w:keepLines/>
        <w:pageBreakBefore w:val="0"/>
        <w:widowControl w:val="1"/>
        <w:spacing w:before="0" w:after="0" w:line="317" w:lineRule="auto"/>
      </w:pPr>
      <w:r>
        <w:rPr>
          <w:rFonts w:ascii="Calibri" w:hAnsi="Calibri" w:cs="Calibri" w:eastAsia="Calibri"/>
          <w:b w:val="0"/>
          <w:i w:val="0"/>
          <w:color w:val="4C5B73"/>
          <w:sz w:val="19"/>
          <w:u w:val="none"/>
        </w:rPr>
        <w:t>Every figure in this report and where it came from.</w:t>
      </w:r>
    </w:p>
    <w:p>
      <w:pPr>
        <w:keepNext w:val="0"/>
        <w:keepLines/>
        <w:pageBreakBefore w:val="0"/>
        <w:widowControl w:val="1"/>
        <w:spacing w:before="0" w:after="0" w:line="108"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Data table"/>
        <w:tblDescription w:val="Columns: Data, Source, As at"/>
      </w:tblPr>
      <w:tblGrid>
        <w:gridCol w:w="3402"/>
        <w:gridCol w:w="4535"/>
        <w:gridCol w:w="2154"/>
      </w:tblGrid>
      <w:tr>
        <w:trPr>
          <w:cantSplit/>
          <w:trHeight w:val="420" w:hRule="atLeast"/>
          <w:tblHeader/>
        </w:trPr>
        <w:tc>
          <w:tcPr>
            <w:tcW w:type="dxa" w:w="3402"/>
            <w:tcBorders>
              <w:top w:val="nil"/>
              <w:left w:val="nil"/>
              <w:bottom w:val="single" w:sz="8" w:space="0" w:color="12B0CE"/>
              <w:right w:val="nil"/>
            </w:tcBorders>
            <w:shd w:val="clear" w:color="auto" w:fill="0C2340"/>
            <w:tcMar>
              <w:top w:w="95" w:type="dxa"/>
              <w:left w:w="133" w:type="dxa"/>
              <w:bottom w:w="95" w:type="dxa"/>
              <w:right w:w="13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Data</w:t>
            </w:r>
          </w:p>
        </w:tc>
        <w:tc>
          <w:tcPr>
            <w:tcW w:type="dxa" w:w="4535"/>
            <w:tcBorders>
              <w:top w:val="nil"/>
              <w:left w:val="nil"/>
              <w:bottom w:val="single" w:sz="8" w:space="0" w:color="12B0CE"/>
              <w:right w:val="nil"/>
            </w:tcBorders>
            <w:shd w:val="clear" w:color="auto" w:fill="0C2340"/>
            <w:tcMar>
              <w:top w:w="95" w:type="dxa"/>
              <w:left w:w="133" w:type="dxa"/>
              <w:bottom w:w="95" w:type="dxa"/>
              <w:right w:w="13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Source</w:t>
            </w:r>
          </w:p>
        </w:tc>
        <w:tc>
          <w:tcPr>
            <w:tcW w:type="dxa" w:w="2154"/>
            <w:tcBorders>
              <w:top w:val="nil"/>
              <w:left w:val="nil"/>
              <w:bottom w:val="single" w:sz="8" w:space="0" w:color="12B0CE"/>
              <w:right w:val="nil"/>
            </w:tcBorders>
            <w:shd w:val="clear" w:color="auto" w:fill="0C2340"/>
            <w:tcMar>
              <w:top w:w="95" w:type="dxa"/>
              <w:left w:w="133" w:type="dxa"/>
              <w:bottom w:w="95" w:type="dxa"/>
              <w:right w:w="13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As at</w:t>
            </w:r>
          </w:p>
        </w:tc>
      </w:tr>
      <w:tr>
        <w:trPr>
          <w:cantSplit/>
          <w:trHeight w:val="397" w:hRule="atLeast"/>
        </w:trPr>
        <w:tc>
          <w:tcPr>
            <w:tcW w:type="dxa" w:w="3402"/>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Comparable sales</w:t>
            </w:r>
          </w:p>
        </w:tc>
        <w:tc>
          <w:tcPr>
            <w:tcW w:type="dxa" w:w="4535"/>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State valuer-general records</w:t>
            </w:r>
          </w:p>
        </w:tc>
        <w:tc>
          <w:tcPr>
            <w:tcW w:type="dxa" w:w="2154"/>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01/07/2026</w:t>
            </w:r>
          </w:p>
        </w:tc>
      </w:tr>
      <w:tr>
        <w:trPr>
          <w:cantSplit/>
          <w:trHeight w:val="397" w:hRule="atLeast"/>
        </w:trPr>
        <w:tc>
          <w:tcPr>
            <w:tcW w:type="dxa" w:w="3402"/>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Rental appraisal</w:t>
            </w:r>
          </w:p>
        </w:tc>
        <w:tc>
          <w:tcPr>
            <w:tcW w:type="dxa" w:w="4535"/>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Independent managing agent</w:t>
            </w:r>
          </w:p>
        </w:tc>
        <w:tc>
          <w:tcPr>
            <w:tcW w:type="dxa" w:w="2154"/>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18/07/2026</w:t>
            </w:r>
          </w:p>
        </w:tc>
      </w:tr>
      <w:tr>
        <w:trPr>
          <w:cantSplit/>
          <w:trHeight w:val="397" w:hRule="atLeast"/>
        </w:trPr>
        <w:tc>
          <w:tcPr>
            <w:tcW w:type="dxa" w:w="3402"/>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Suburb growth</w:t>
            </w:r>
          </w:p>
        </w:tc>
        <w:tc>
          <w:tcPr>
            <w:tcW w:type="dxa" w:w="4535"/>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Aurixa market data</w:t>
            </w:r>
          </w:p>
        </w:tc>
        <w:tc>
          <w:tcPr>
            <w:tcW w:type="dxa" w:w="2154"/>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30/06/2026</w:t>
            </w:r>
          </w:p>
        </w:tc>
      </w:tr>
      <w:tr>
        <w:trPr>
          <w:cantSplit/>
          <w:trHeight w:val="397" w:hRule="atLeast"/>
        </w:trPr>
        <w:tc>
          <w:tcPr>
            <w:tcW w:type="dxa" w:w="3402"/>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Building condition</w:t>
            </w:r>
          </w:p>
        </w:tc>
        <w:tc>
          <w:tcPr>
            <w:tcW w:type="dxa" w:w="4535"/>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Licensed building inspector</w:t>
            </w:r>
          </w:p>
        </w:tc>
        <w:tc>
          <w:tcPr>
            <w:tcW w:type="dxa" w:w="2154"/>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22/07/2026</w:t>
            </w:r>
          </w:p>
        </w:tc>
      </w:tr>
    </w:tbl>
    <w:p>
      <w:pPr>
        <w:keepNext w:val="0"/>
        <w:keepLines/>
        <w:pageBreakBefore w:val="1"/>
        <w:widowControl w:val="1"/>
        <w:spacing w:before="0" w:after="0" w:line="20" w:lineRule="exact"/>
        <w:rPr>
          <w:sz w:val="2"/>
        </w:rPr>
      </w:pP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964"/>
        <w:gridCol w:w="9128"/>
      </w:tblGrid>
      <w:tr>
        <w:trPr>
          <w:cantSplit/>
          <w:trHeight w:val="680" w:hRule="atLeast"/>
        </w:trPr>
        <w:tc>
          <w:tcPr>
            <w:tcW w:type="dxa" w:w="964"/>
            <w:shd w:val="clear" w:color="auto" w:fill="12B0CE"/>
            <w:tcMar>
              <w:top w:w="90" w:type="dxa"/>
              <w:left w:w="50" w:type="dxa"/>
              <w:bottom w:w="90" w:type="dxa"/>
              <w:right w:w="50" w:type="dxa"/>
            </w:tcMar>
            <w:vAlign w:val="center"/>
          </w:tcPr>
          <w:p>
            <w:pPr>
              <w:keepNext/>
              <w:keepLines/>
              <w:pageBreakBefore w:val="0"/>
              <w:widowControl w:val="1"/>
              <w:spacing w:before="0" w:after="0"/>
              <w:jc w:val="center"/>
            </w:pPr>
          </w:p>
        </w:tc>
        <w:tc>
          <w:tcPr>
            <w:tcW w:type="dxa" w:w="9128"/>
            <w:shd w:val="clear" w:color="auto" w:fill="0C2340"/>
            <w:tcMar>
              <w:top w:w="95" w:type="dxa"/>
              <w:left w:w="190" w:type="dxa"/>
              <w:bottom w:w="95" w:type="dxa"/>
              <w:right w:w="150" w:type="dxa"/>
            </w:tcMar>
            <w:vAlign w:val="center"/>
          </w:tcPr>
          <w:p>
            <w:pPr>
              <w:keepNext/>
              <w:keepLines/>
              <w:pageBreakBefore w:val="0"/>
              <w:widowControl w:val="1"/>
              <w:spacing w:before="0" w:after="20"/>
            </w:pPr>
            <w:r>
              <w:rPr>
                <w:rFonts w:ascii="Calibri" w:hAnsi="Calibri" w:cs="Calibri" w:eastAsia="Calibri"/>
                <w:b/>
                <w:i w:val="0"/>
                <w:caps w:val="1"/>
                <w:color w:val="FFFFFF"/>
                <w:spacing w:val="36"/>
                <w:sz w:val="25"/>
                <w:u w:val="none"/>
              </w:rPr>
              <w:t>Important information</w:t>
            </w:r>
          </w:p>
          <w:p>
            <w:pPr>
              <w:keepNext/>
              <w:keepLines/>
              <w:pageBreakBefore w:val="0"/>
              <w:widowControl w:val="1"/>
              <w:spacing w:before="0" w:after="0"/>
            </w:pPr>
            <w:r>
              <w:rPr>
                <w:rFonts w:ascii="Calibri" w:hAnsi="Calibri" w:cs="Calibri" w:eastAsia="Calibri"/>
                <w:b w:val="0"/>
                <w:i w:val="0"/>
                <w:caps w:val="1"/>
                <w:color w:val="12B0CE"/>
                <w:spacing w:val="22"/>
                <w:sz w:val="14"/>
                <w:u w:val="none"/>
              </w:rPr>
              <w:t>Disclaimer, privacy and terms</w:t>
            </w:r>
          </w:p>
        </w:tc>
      </w:tr>
    </w:tbl>
    <w:p>
      <w:pPr>
        <w:keepNext w:val="1"/>
        <w:keepLines/>
        <w:pageBreakBefore w:val="0"/>
        <w:widowControl w:val="1"/>
        <w:spacing w:before="0" w:after="0" w:line="180" w:lineRule="exact"/>
      </w:pPr>
      <w:r>
        <w:rPr>
          <w:sz w:val="2"/>
        </w:rPr>
      </w:r>
    </w:p>
    <w:p>
      <w:pPr>
        <w:keepNext/>
        <w:keepLines/>
        <w:pageBreakBefore w:val="0"/>
        <w:widowControl w:val="1"/>
        <w:spacing w:before="160" w:after="80"/>
      </w:pPr>
      <w:r>
        <w:rPr>
          <w:rFonts w:ascii="Calibri" w:hAnsi="Calibri" w:cs="Calibri" w:eastAsia="Calibri"/>
          <w:b/>
          <w:i w:val="0"/>
          <w:color w:val="0C2340"/>
          <w:sz w:val="21"/>
          <w:u w:val="none"/>
        </w:rPr>
        <w:t>Disclaimer</w:t>
      </w:r>
    </w:p>
    <w:p>
      <w:pPr>
        <w:keepNext w:val="0"/>
        <w:keepLines/>
        <w:pageBreakBefore w:val="0"/>
        <w:widowControl w:val="1"/>
        <w:spacing w:before="0" w:after="0" w:line="317" w:lineRule="auto"/>
      </w:pPr>
      <w:r>
        <w:rPr>
          <w:rFonts w:ascii="Calibri" w:hAnsi="Calibri" w:cs="Calibri" w:eastAsia="Calibri"/>
          <w:b w:val="0"/>
          <w:i w:val="0"/>
          <w:color w:val="4C5B73"/>
          <w:sz w:val="17"/>
          <w:u w:val="none"/>
        </w:rPr>
        <w:t>This document has been prepared for the named recipient only and is general in nature. It does not take into account any person's objectives, financial situation or needs, and it is not financial product, credit, tax or legal advice. Obtain your own professional advice before acting on it.</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Calibri" w:hAnsi="Calibri" w:cs="Calibri" w:eastAsia="Calibri"/>
          <w:b/>
          <w:i w:val="0"/>
          <w:color w:val="0C2340"/>
          <w:sz w:val="21"/>
          <w:u w:val="none"/>
        </w:rPr>
        <w:t>Privacy</w:t>
      </w:r>
    </w:p>
    <w:p>
      <w:pPr>
        <w:keepNext w:val="0"/>
        <w:keepLines/>
        <w:pageBreakBefore w:val="0"/>
        <w:widowControl w:val="1"/>
        <w:spacing w:before="0" w:after="0" w:line="317" w:lineRule="auto"/>
      </w:pPr>
      <w:r>
        <w:rPr>
          <w:rFonts w:ascii="Calibri" w:hAnsi="Calibri" w:cs="Calibri" w:eastAsia="Calibri"/>
          <w:b w:val="0"/>
          <w:i w:val="0"/>
          <w:color w:val="4C5B73"/>
          <w:sz w:val="17"/>
          <w:u w:val="none"/>
        </w:rPr>
        <w:t>Personal information collected in connection with this document is handled in accordance with our privacy policy and applicable privacy law. It is used only for the purposes described in this document and for related compliance and record-keeping obligations.</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Calibri" w:hAnsi="Calibri" w:cs="Calibri" w:eastAsia="Calibri"/>
          <w:b/>
          <w:i w:val="0"/>
          <w:color w:val="0C2340"/>
          <w:sz w:val="21"/>
          <w:u w:val="none"/>
        </w:rPr>
        <w:t>Terms of use</w:t>
      </w:r>
    </w:p>
    <w:p>
      <w:pPr>
        <w:keepNext w:val="0"/>
        <w:keepLines/>
        <w:pageBreakBefore w:val="0"/>
        <w:widowControl w:val="1"/>
        <w:spacing w:before="0" w:after="0" w:line="317" w:lineRule="auto"/>
      </w:pPr>
      <w:r>
        <w:rPr>
          <w:rFonts w:ascii="Calibri" w:hAnsi="Calibri" w:cs="Calibri" w:eastAsia="Calibri"/>
          <w:b w:val="0"/>
          <w:i w:val="0"/>
          <w:color w:val="4C5B73"/>
          <w:sz w:val="17"/>
          <w:u w:val="none"/>
        </w:rPr>
        <w:t>This document remains our property and is provided in confidence. It may not be reproduced, forwarded or relied upon by any person other than the named recipient without our written consent.</w:t>
      </w:r>
    </w:p>
    <w:p>
      <w:pPr>
        <w:keepNext w:val="0"/>
        <w:keepLines/>
        <w:pageBreakBefore w:val="0"/>
        <w:widowControl w:val="1"/>
        <w:spacing w:before="0" w:after="0" w:line="100" w:lineRule="exact"/>
      </w:pPr>
      <w:r>
        <w:rPr>
          <w:sz w:val="2"/>
        </w:rPr>
      </w:r>
    </w:p>
    <w:p>
      <w:pPr>
        <w:keepNext w:val="0"/>
        <w:keepLines/>
        <w:pageBreakBefore w:val="1"/>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4" w:space="0" w:color="0C2340"/>
              <w:left w:val="single" w:sz="4" w:space="0" w:color="0C2340"/>
              <w:bottom w:val="single" w:sz="4" w:space="0" w:color="0C2340"/>
              <w:right w:val="single" w:sz="4" w:space="0" w:color="0C2340"/>
            </w:tcBorders>
            <w:shd w:val="clear" w:color="auto" w:fill="0C2340"/>
            <w:tcMar>
              <w:top w:w="320" w:type="dxa"/>
              <w:left w:w="260" w:type="dxa"/>
              <w:bottom w:w="320" w:type="dxa"/>
              <w:right w:w="260" w:type="dxa"/>
            </w:tcMar>
          </w:tcPr>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3061"/>
            </w:tblGrid>
            <w:tr>
              <w:trPr>
                <w:cantSplit/>
              </w:trPr>
              <w:tc>
                <w:tcPr>
                  <w:tcW w:type="dxa" w:w="3061"/>
                  <w:tcBorders>
                    <w:top w:val="dashed" w:sz="8" w:space="0" w:color="12B0CE"/>
                    <w:left w:val="dashed" w:sz="8" w:space="0" w:color="12B0CE"/>
                    <w:bottom w:val="dashed" w:sz="8" w:space="0" w:color="12B0CE"/>
                    <w:right w:val="dashed" w:sz="8" w:space="0" w:color="12B0CE"/>
                  </w:tcBorders>
                  <w:tcMar>
                    <w:top w:w="190" w:type="dxa"/>
                    <w:left w:w="130" w:type="dxa"/>
                    <w:bottom w:w="190" w:type="dxa"/>
                    <w:right w:w="130" w:type="dxa"/>
                  </w:tcMar>
                </w:tcPr>
                <w:p>
                  <w:pPr>
                    <w:keepNext w:val="0"/>
                    <w:keepLines/>
                    <w:pageBreakBefore w:val="0"/>
                    <w:widowControl w:val="1"/>
                    <w:spacing w:before="0" w:after="0"/>
                    <w:jc w:val="center"/>
                  </w:pPr>
                  <w:r>
                    <w:rPr>
                      <w:rFonts w:ascii="Calibri" w:hAnsi="Calibri" w:cs="Calibri" w:eastAsia="Calibri"/>
                      <w:b/>
                      <w:i w:val="0"/>
                      <w:caps w:val="1"/>
                      <w:color w:val="12B0CE"/>
                      <w:spacing w:val="36"/>
                      <w:sz w:val="14"/>
                      <w:u w:val="none"/>
                    </w:rPr>
                    <w:t>[  AURIXA SYSTEMS  ]</w:t>
                  </w:r>
                </w:p>
              </w:tc>
            </w:tr>
          </w:tbl>
          <w:p/>
          <w:p>
            <w:pPr>
              <w:keepNext w:val="0"/>
              <w:keepLines/>
              <w:pageBreakBefore w:val="0"/>
              <w:widowControl w:val="1"/>
              <w:spacing w:before="0" w:after="0" w:line="200" w:lineRule="exact"/>
            </w:pPr>
            <w:r>
              <w:rPr>
                <w:sz w:val="2"/>
              </w:rPr>
            </w:r>
          </w:p>
          <w:p>
            <w:pPr>
              <w:keepNext w:val="0"/>
              <w:keepLines/>
              <w:pageBreakBefore w:val="0"/>
              <w:widowControl w:val="1"/>
              <w:spacing w:before="0" w:after="60"/>
            </w:pPr>
            <w:r>
              <w:rPr>
                <w:rFonts w:ascii="Calibri" w:hAnsi="Calibri" w:cs="Calibri" w:eastAsia="Calibri"/>
                <w:b/>
                <w:i w:val="0"/>
                <w:color w:val="FFFFFF"/>
                <w:sz w:val="34"/>
                <w:u w:val="none"/>
              </w:rPr>
              <w:t>Aurixa Systems</w:t>
            </w:r>
          </w:p>
          <w:p>
            <w:pPr>
              <w:keepNext w:val="0"/>
              <w:keepLines/>
              <w:pageBreakBefore w:val="0"/>
              <w:widowControl w:val="1"/>
              <w:spacing w:before="0" w:after="200"/>
            </w:pPr>
            <w:r>
              <w:rPr>
                <w:rFonts w:ascii="Calibri" w:hAnsi="Calibri" w:cs="Calibri" w:eastAsia="Calibri"/>
                <w:b/>
                <w:i w:val="0"/>
                <w:caps w:val="1"/>
                <w:color w:val="12B0CE"/>
                <w:spacing w:val="40"/>
                <w:sz w:val="15"/>
                <w:u w:val="none"/>
              </w:rPr>
              <w:t>INTELLIGENT PROPERTY &amp; FINANCE INFRASTRUCTURE</w:t>
            </w:r>
          </w:p>
          <w:p>
            <w:pPr>
              <w:keepNext w:val="0"/>
              <w:keepLines/>
              <w:pageBreakBefore w:val="0"/>
              <w:widowControl w:val="1"/>
              <w:spacing w:before="0" w:after="80" w:line="298" w:lineRule="auto"/>
            </w:pPr>
            <w:r>
              <w:rPr>
                <w:rFonts w:ascii="Calibri" w:hAnsi="Calibri" w:cs="Calibri" w:eastAsia="Calibri"/>
                <w:b/>
                <w:i w:val="0"/>
                <w:caps w:val="1"/>
                <w:color w:val="12B0CE"/>
                <w:spacing w:val="26"/>
                <w:sz w:val="14"/>
                <w:u w:val="none"/>
              </w:rPr>
              <w:t xml:space="preserve">WEB   </w:t>
            </w:r>
            <w:r>
              <w:rPr>
                <w:rFonts w:ascii="Calibri" w:hAnsi="Calibri" w:cs="Calibri" w:eastAsia="Calibri"/>
                <w:b w:val="0"/>
                <w:i w:val="0"/>
                <w:color w:val="AFC0D6"/>
                <w:sz w:val="17"/>
                <w:u w:val="none"/>
              </w:rPr>
              <w:t>www.example.com.au</w:t>
            </w:r>
          </w:p>
          <w:p>
            <w:pPr>
              <w:keepNext w:val="0"/>
              <w:keepLines/>
              <w:pageBreakBefore w:val="0"/>
              <w:widowControl w:val="1"/>
              <w:spacing w:before="0" w:after="80" w:line="298" w:lineRule="auto"/>
            </w:pPr>
            <w:r>
              <w:rPr>
                <w:rFonts w:ascii="Calibri" w:hAnsi="Calibri" w:cs="Calibri" w:eastAsia="Calibri"/>
                <w:b/>
                <w:i w:val="0"/>
                <w:caps w:val="1"/>
                <w:color w:val="12B0CE"/>
                <w:spacing w:val="26"/>
                <w:sz w:val="14"/>
                <w:u w:val="none"/>
              </w:rPr>
              <w:t xml:space="preserve">EMAIL   </w:t>
            </w:r>
            <w:r>
              <w:rPr>
                <w:rFonts w:ascii="Calibri" w:hAnsi="Calibri" w:cs="Calibri" w:eastAsia="Calibri"/>
                <w:b w:val="0"/>
                <w:i w:val="0"/>
                <w:color w:val="AFC0D6"/>
                <w:sz w:val="17"/>
                <w:u w:val="none"/>
              </w:rPr>
              <w:t>hello@example.com.au</w:t>
            </w:r>
          </w:p>
          <w:p>
            <w:pPr>
              <w:keepNext w:val="0"/>
              <w:keepLines/>
              <w:pageBreakBefore w:val="0"/>
              <w:widowControl w:val="1"/>
              <w:spacing w:before="0" w:after="80" w:line="298" w:lineRule="auto"/>
            </w:pPr>
            <w:r>
              <w:rPr>
                <w:rFonts w:ascii="Calibri" w:hAnsi="Calibri" w:cs="Calibri" w:eastAsia="Calibri"/>
                <w:b/>
                <w:i w:val="0"/>
                <w:caps w:val="1"/>
                <w:color w:val="12B0CE"/>
                <w:spacing w:val="26"/>
                <w:sz w:val="14"/>
                <w:u w:val="none"/>
              </w:rPr>
              <w:t xml:space="preserve">PHONE   </w:t>
            </w:r>
            <w:r>
              <w:rPr>
                <w:rFonts w:ascii="Calibri" w:hAnsi="Calibri" w:cs="Calibri" w:eastAsia="Calibri"/>
                <w:b w:val="0"/>
                <w:i w:val="0"/>
                <w:color w:val="AFC0D6"/>
                <w:sz w:val="17"/>
                <w:u w:val="none"/>
              </w:rPr>
              <w:t>(02) 8000 1234</w:t>
            </w:r>
          </w:p>
          <w:p>
            <w:pPr>
              <w:keepNext w:val="0"/>
              <w:keepLines/>
              <w:pageBreakBefore w:val="0"/>
              <w:widowControl w:val="1"/>
              <w:spacing w:before="0" w:after="80" w:line="298" w:lineRule="auto"/>
            </w:pPr>
            <w:r>
              <w:rPr>
                <w:rFonts w:ascii="Calibri" w:hAnsi="Calibri" w:cs="Calibri" w:eastAsia="Calibri"/>
                <w:b/>
                <w:i w:val="0"/>
                <w:caps w:val="1"/>
                <w:color w:val="12B0CE"/>
                <w:spacing w:val="26"/>
                <w:sz w:val="14"/>
                <w:u w:val="none"/>
              </w:rPr>
              <w:t xml:space="preserve">ADDRESS   </w:t>
            </w:r>
            <w:r>
              <w:rPr>
                <w:rFonts w:ascii="Calibri" w:hAnsi="Calibri" w:cs="Calibri" w:eastAsia="Calibri"/>
                <w:b w:val="0"/>
                <w:i w:val="0"/>
                <w:color w:val="AFC0D6"/>
                <w:sz w:val="17"/>
                <w:u w:val="none"/>
              </w:rPr>
              <w:t>Level 4, 100 Sample Street, Sydney NSW 2000</w:t>
            </w:r>
          </w:p>
          <w:p>
            <w:pPr>
              <w:keepNext w:val="0"/>
              <w:keepLines/>
              <w:pageBreakBefore w:val="0"/>
              <w:widowControl w:val="1"/>
              <w:spacing w:before="0" w:after="80" w:line="298" w:lineRule="auto"/>
            </w:pPr>
            <w:r>
              <w:rPr>
                <w:rFonts w:ascii="Calibri" w:hAnsi="Calibri" w:cs="Calibri" w:eastAsia="Calibri"/>
                <w:b/>
                <w:i w:val="0"/>
                <w:caps w:val="1"/>
                <w:color w:val="12B0CE"/>
                <w:spacing w:val="26"/>
                <w:sz w:val="14"/>
                <w:u w:val="none"/>
              </w:rPr>
              <w:t xml:space="preserve">SOCIAL   </w:t>
            </w:r>
            <w:r>
              <w:rPr>
                <w:rFonts w:ascii="Calibri" w:hAnsi="Calibri" w:cs="Calibri" w:eastAsia="Calibri"/>
                <w:b w:val="0"/>
                <w:i w:val="0"/>
                <w:color w:val="AFC0D6"/>
                <w:sz w:val="17"/>
                <w:u w:val="none"/>
              </w:rPr>
              <w:t>linkedin.com/company/example</w:t>
            </w:r>
          </w:p>
          <w:p>
            <w:pPr>
              <w:keepNext w:val="0"/>
              <w:keepLines/>
              <w:pageBreakBefore w:val="0"/>
              <w:widowControl w:val="1"/>
              <w:spacing w:before="0" w:after="0" w:line="200" w:lineRule="exact"/>
            </w:pPr>
            <w:r>
              <w:rPr>
                <w:sz w:val="2"/>
              </w:rPr>
            </w:r>
          </w:p>
          <w:p>
            <w:pPr>
              <w:keepNext w:val="0"/>
              <w:keepLines/>
              <w:pageBreakBefore w:val="0"/>
              <w:widowControl w:val="1"/>
              <w:spacing w:before="0" w:after="0"/>
            </w:pPr>
            <w:r>
              <w:rPr>
                <w:rFonts w:ascii="Calibri" w:hAnsi="Calibri" w:cs="Calibri" w:eastAsia="Calibri"/>
                <w:b w:val="0"/>
                <w:i w:val="0"/>
                <w:caps w:val="1"/>
                <w:color w:val="AFC0D6"/>
                <w:spacing w:val="32"/>
                <w:sz w:val="14"/>
                <w:u w:val="none"/>
              </w:rPr>
              <w:t>Aurixa Systems</w:t>
            </w:r>
          </w:p>
        </w:tc>
      </w:tr>
    </w:tbl>
    <w:p>
      <w:pPr>
        <w:keepNext w:val="0"/>
        <w:keepLines/>
        <w:pageBreakBefore w:val="0"/>
        <w:widowControl w:val="1"/>
        <w:spacing w:before="0" w:after="0" w:line="160" w:lineRule="exact"/>
      </w:pPr>
      <w:r>
        <w:rPr>
          <w:sz w:val="2"/>
        </w:rPr>
      </w:r>
    </w:p>
    <w:p>
      <w:pPr>
        <w:keepNext w:val="0"/>
        <w:keepLines/>
        <w:pageBreakBefore w:val="0"/>
        <w:widowControl w:val="1"/>
        <w:spacing w:before="0" w:after="0"/>
        <w:jc w:val="center"/>
      </w:pPr>
      <w:r>
        <w:rPr>
          <w:rFonts w:ascii="Calibri" w:hAnsi="Calibri" w:cs="Calibri" w:eastAsia="Calibri"/>
          <w:b w:val="0"/>
          <w:i w:val="0"/>
          <w:color w:val="8493A8"/>
          <w:sz w:val="14"/>
          <w:u w:val="none"/>
        </w:rPr>
        <w:t>Example Advisory Pty Ltd   ·   ABN 12 600 123 456   ·   COMMERCIAL IN CONFIDENCE</w:t>
      </w:r>
    </w:p>
    <w:sectPr w:rsidR="00FC693F" w:rsidRPr="0006063C" w:rsidSect="00034616">
      <w:headerReference w:type="first" r:id="rId9"/>
      <w:headerReference w:type="default" r:id="rId10"/>
      <w:footerReference w:type="default" r:id="rId11"/>
      <w:footerReference w:type="first" r:id="rId12"/>
      <w:pgSz w:w="11906" w:h="16838"/>
      <w:pgMar w:top="1361" w:right="907" w:bottom="1134" w:left="907"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single" w:sz="4" w:space="0" w:color="DCE3ED"/>
            <w:left w:val="nil"/>
            <w:bottom w:val="nil"/>
            <w:right w:val="nil"/>
          </w:tcBorders>
          <w:tcMar>
            <w:top w:w="70" w:type="dxa"/>
            <w:left w:w="0" w:type="dxa"/>
            <w:bottom w:w="40" w:type="dxa"/>
            <w:right w:w="0" w:type="dxa"/>
          </w:tcMar>
        </w:tcPr>
        <w:p>
          <w:pPr>
            <w:keepNext w:val="0"/>
            <w:keepLines/>
            <w:pageBreakBefore w:val="0"/>
            <w:widowControl w:val="1"/>
            <w:spacing w:before="0" w:after="0"/>
          </w:pPr>
          <w:r>
            <w:rPr>
              <w:rFonts w:ascii="Calibri" w:hAnsi="Calibri" w:cs="Calibri" w:eastAsia="Calibri"/>
              <w:b/>
              <w:i w:val="0"/>
              <w:caps w:val="1"/>
              <w:color w:val="12B0CE"/>
              <w:spacing w:val="28"/>
              <w:sz w:val="14"/>
              <w:u w:val="none"/>
            </w:rPr>
            <w:t>COMMERCIAL IN CONFIDENCE</w:t>
          </w:r>
          <w:r>
            <w:rPr>
              <w:rFonts w:ascii="Calibri" w:hAnsi="Calibri" w:cs="Calibri" w:eastAsia="Calibri"/>
              <w:b w:val="0"/>
              <w:i w:val="0"/>
              <w:color w:val="8493A8"/>
              <w:sz w:val="14"/>
              <w:u w:val="none"/>
            </w:rPr>
            <w:t xml:space="preserve">    APR-0418-01</w:t>
          </w:r>
        </w:p>
      </w:tc>
      <w:tc>
        <w:tcPr>
          <w:tcW w:type="dxa" w:w="4440"/>
          <w:tcBorders>
            <w:top w:val="single" w:sz="4" w:space="0" w:color="DCE3ED"/>
            <w:left w:val="nil"/>
            <w:bottom w:val="nil"/>
            <w:right w:val="nil"/>
          </w:tcBorders>
          <w:tcMar>
            <w:top w:w="70" w:type="dxa"/>
            <w:left w:w="0" w:type="dxa"/>
            <w:bottom w:w="40" w:type="dxa"/>
            <w:right w:w="0" w:type="dxa"/>
          </w:tcMar>
        </w:tcPr>
        <w:p>
          <w:pPr>
            <w:keepNext w:val="0"/>
            <w:keepLines/>
            <w:pageBreakBefore w:val="0"/>
            <w:widowControl w:val="1"/>
            <w:spacing w:before="0" w:after="0"/>
            <w:jc w:val="right"/>
          </w:pPr>
          <w:r>
            <w:rPr>
              <w:rFonts w:ascii="Calibri" w:hAnsi="Calibri" w:cs="Calibri" w:eastAsia="Calibri"/>
              <w:b w:val="0"/>
              <w:i w:val="0"/>
              <w:color w:val="8493A8"/>
              <w:sz w:val="14"/>
              <w:u w:val="none"/>
            </w:rPr>
            <w:t xml:space="preserve">Aurixa Systems    |    </w:t>
          </w:r>
          <w:r>
            <w:rPr>
              <w:rFonts w:ascii="Calibri" w:hAnsi="Calibri" w:cs="Calibri" w:eastAsia="Calibri"/>
              <w:b/>
              <w:i w:val="0"/>
              <w:color w:val="4C5B73"/>
              <w:sz w:val="14"/>
              <w:u w:val="none"/>
            </w:rPr>
            <w:t>v1.0</w:t>
          </w:r>
          <w:r>
            <w:rPr>
              <w:rFonts w:ascii="Calibri" w:hAnsi="Calibri" w:cs="Calibri" w:eastAsia="Calibri"/>
              <w:b w:val="0"/>
              <w:i w:val="0"/>
              <w:color w:val="8493A8"/>
              <w:sz w:val="14"/>
              <w:u w:val="none"/>
            </w:rPr>
            <w:t xml:space="preserve">    |    Page </w:t>
          </w:r>
          <w:r>
            <w:rPr>
              <w:rFonts w:ascii="Calibri" w:hAnsi="Calibri" w:cs="Calibri" w:eastAsia="Calibri"/>
              <w:b/>
              <w:i w:val="0"/>
              <w:color w:val="4C5B73"/>
              <w:sz w:val="14"/>
              <w:u w:val="none"/>
            </w:rPr>
            <w:fldChar w:fldCharType="begin"/>
            <w:instrText xml:space="preserve"> PAGE </w:instrText>
            <w:fldChar w:fldCharType="separate"/>
            <w:fldChar w:fldCharType="end"/>
          </w:r>
          <w:r>
            <w:rPr>
              <w:rFonts w:ascii="Calibri" w:hAnsi="Calibri" w:cs="Calibri" w:eastAsia="Calibri"/>
              <w:b w:val="0"/>
              <w:i w:val="0"/>
              <w:color w:val="8493A8"/>
              <w:sz w:val="14"/>
              <w:u w:val="none"/>
            </w:rPr>
            <w:t xml:space="preserve"> of </w:t>
          </w:r>
          <w:r>
            <w:rPr>
              <w:rFonts w:ascii="Calibri" w:hAnsi="Calibri" w:cs="Calibri" w:eastAsia="Calibri"/>
              <w:b/>
              <w:i w:val="0"/>
              <w:color w:val="4C5B73"/>
              <w:sz w:val="14"/>
              <w:u w:val="none"/>
            </w:rPr>
            <w:fldChar w:fldCharType="begin"/>
            <w:instrText xml:space="preserve"> NUMPAGES </w:instrText>
            <w:fldChar w:fldCharType="separate"/>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single" w:sz="4" w:space="0" w:color="DCE3ED"/>
            <w:left w:val="nil"/>
            <w:bottom w:val="nil"/>
            <w:right w:val="nil"/>
          </w:tcBorders>
          <w:tcMar>
            <w:top w:w="70" w:type="dxa"/>
            <w:left w:w="0" w:type="dxa"/>
            <w:bottom w:w="40" w:type="dxa"/>
            <w:right w:w="0" w:type="dxa"/>
          </w:tcMar>
        </w:tcPr>
        <w:p>
          <w:pPr>
            <w:keepNext w:val="0"/>
            <w:keepLines/>
            <w:pageBreakBefore w:val="0"/>
            <w:widowControl w:val="1"/>
            <w:spacing w:before="0" w:after="0"/>
          </w:pPr>
          <w:r>
            <w:rPr>
              <w:rFonts w:ascii="Calibri" w:hAnsi="Calibri" w:cs="Calibri" w:eastAsia="Calibri"/>
              <w:b/>
              <w:i w:val="0"/>
              <w:caps w:val="1"/>
              <w:color w:val="12B0CE"/>
              <w:spacing w:val="28"/>
              <w:sz w:val="14"/>
              <w:u w:val="none"/>
            </w:rPr>
            <w:t>COMMERCIAL IN CONFIDENCE</w:t>
          </w:r>
          <w:r>
            <w:rPr>
              <w:rFonts w:ascii="Calibri" w:hAnsi="Calibri" w:cs="Calibri" w:eastAsia="Calibri"/>
              <w:b w:val="0"/>
              <w:i w:val="0"/>
              <w:color w:val="8493A8"/>
              <w:sz w:val="14"/>
              <w:u w:val="none"/>
            </w:rPr>
            <w:t xml:space="preserve">    APR-0418-01</w:t>
          </w:r>
        </w:p>
      </w:tc>
      <w:tc>
        <w:tcPr>
          <w:tcW w:type="dxa" w:w="4440"/>
          <w:tcBorders>
            <w:top w:val="single" w:sz="4" w:space="0" w:color="DCE3ED"/>
            <w:left w:val="nil"/>
            <w:bottom w:val="nil"/>
            <w:right w:val="nil"/>
          </w:tcBorders>
          <w:tcMar>
            <w:top w:w="70" w:type="dxa"/>
            <w:left w:w="0" w:type="dxa"/>
            <w:bottom w:w="40" w:type="dxa"/>
            <w:right w:w="0" w:type="dxa"/>
          </w:tcMar>
        </w:tcPr>
        <w:p>
          <w:pPr>
            <w:keepNext w:val="0"/>
            <w:keepLines/>
            <w:pageBreakBefore w:val="0"/>
            <w:widowControl w:val="1"/>
            <w:spacing w:before="0" w:after="0"/>
            <w:jc w:val="right"/>
          </w:pPr>
          <w:r>
            <w:rPr>
              <w:rFonts w:ascii="Calibri" w:hAnsi="Calibri" w:cs="Calibri" w:eastAsia="Calibri"/>
              <w:b w:val="0"/>
              <w:i w:val="0"/>
              <w:color w:val="8493A8"/>
              <w:sz w:val="14"/>
              <w:u w:val="none"/>
            </w:rPr>
            <w:t xml:space="preserve">Aurixa Systems    |    </w:t>
          </w:r>
          <w:r>
            <w:rPr>
              <w:rFonts w:ascii="Calibri" w:hAnsi="Calibri" w:cs="Calibri" w:eastAsia="Calibri"/>
              <w:b/>
              <w:i w:val="0"/>
              <w:color w:val="4C5B73"/>
              <w:sz w:val="14"/>
              <w:u w:val="none"/>
            </w:rPr>
            <w:t>v1.0</w:t>
          </w:r>
          <w:r>
            <w:rPr>
              <w:rFonts w:ascii="Calibri" w:hAnsi="Calibri" w:cs="Calibri" w:eastAsia="Calibri"/>
              <w:b w:val="0"/>
              <w:i w:val="0"/>
              <w:color w:val="8493A8"/>
              <w:sz w:val="14"/>
              <w:u w:val="none"/>
            </w:rPr>
            <w:t xml:space="preserve">    |    Page </w:t>
          </w:r>
          <w:r>
            <w:rPr>
              <w:rFonts w:ascii="Calibri" w:hAnsi="Calibri" w:cs="Calibri" w:eastAsia="Calibri"/>
              <w:b/>
              <w:i w:val="0"/>
              <w:color w:val="4C5B73"/>
              <w:sz w:val="14"/>
              <w:u w:val="none"/>
            </w:rPr>
            <w:fldChar w:fldCharType="begin"/>
            <w:instrText xml:space="preserve"> PAGE </w:instrText>
            <w:fldChar w:fldCharType="separate"/>
            <w:fldChar w:fldCharType="end"/>
          </w:r>
          <w:r>
            <w:rPr>
              <w:rFonts w:ascii="Calibri" w:hAnsi="Calibri" w:cs="Calibri" w:eastAsia="Calibri"/>
              <w:b w:val="0"/>
              <w:i w:val="0"/>
              <w:color w:val="8493A8"/>
              <w:sz w:val="14"/>
              <w:u w:val="none"/>
            </w:rPr>
            <w:t xml:space="preserve"> of </w:t>
          </w:r>
          <w:r>
            <w:rPr>
              <w:rFonts w:ascii="Calibri" w:hAnsi="Calibri" w:cs="Calibri" w:eastAsia="Calibri"/>
              <w:b/>
              <w:i w:val="0"/>
              <w:color w:val="4C5B73"/>
              <w:sz w:val="14"/>
              <w:u w:val="none"/>
            </w:rPr>
            <w:fldChar w:fldCharType="begin"/>
            <w:instrText xml:space="preserve"> NUMPAGES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046"/>
      <w:gridCol w:w="5046"/>
    </w:tblGrid>
    <w:tr>
      <w:trPr>
        <w:cantSplit/>
      </w:trPr>
      <w:tc>
        <w:tcPr>
          <w:tcW w:type="dxa" w:w="5046"/>
          <w:tcBorders>
            <w:top w:val="nil"/>
            <w:left w:val="nil"/>
            <w:bottom w:val="single" w:sz="6" w:space="0" w:color="12B0CE"/>
            <w:right w:val="nil"/>
          </w:tcBorders>
          <w:tcMar>
            <w:top w:w="0" w:type="dxa"/>
            <w:left w:w="0" w:type="dxa"/>
            <w:bottom w:w="70" w:type="dxa"/>
            <w:right w:w="0" w:type="dxa"/>
          </w:tcMar>
        </w:tcPr>
        <w:p>
          <w:pPr>
            <w:keepNext w:val="0"/>
            <w:keepLines/>
            <w:pageBreakBefore w:val="0"/>
            <w:widowControl w:val="1"/>
            <w:spacing w:before="0" w:after="0"/>
          </w:pPr>
          <w:r>
            <w:rPr>
              <w:rFonts w:ascii="Calibri" w:hAnsi="Calibri" w:cs="Calibri" w:eastAsia="Calibri"/>
              <w:b/>
              <w:i w:val="0"/>
              <w:caps w:val="1"/>
              <w:color w:val="4C5B73"/>
              <w:spacing w:val="28"/>
              <w:sz w:val="14"/>
              <w:u w:val="none"/>
            </w:rPr>
            <w:t>Aurixa Systems</w:t>
          </w:r>
        </w:p>
      </w:tc>
      <w:tc>
        <w:tcPr>
          <w:tcW w:type="dxa" w:w="5046"/>
          <w:tcBorders>
            <w:top w:val="nil"/>
            <w:left w:val="nil"/>
            <w:bottom w:val="single" w:sz="6" w:space="0" w:color="12B0CE"/>
            <w:right w:val="nil"/>
          </w:tcBorders>
          <w:tcMar>
            <w:top w:w="0" w:type="dxa"/>
            <w:left w:w="0" w:type="dxa"/>
            <w:bottom w:w="70" w:type="dxa"/>
            <w:right w:w="0" w:type="dxa"/>
          </w:tcMar>
        </w:tcPr>
        <w:p>
          <w:pPr>
            <w:keepNext w:val="0"/>
            <w:keepLines/>
            <w:pageBreakBefore w:val="0"/>
            <w:widowControl w:val="1"/>
            <w:spacing w:before="0" w:after="0"/>
            <w:jc w:val="right"/>
          </w:pPr>
          <w:r>
            <w:rPr>
              <w:rFonts w:ascii="Calibri" w:hAnsi="Calibri" w:cs="Calibri" w:eastAsia="Calibri"/>
              <w:b/>
              <w:i w:val="0"/>
              <w:caps w:val="1"/>
              <w:color w:val="4C5B73"/>
              <w:spacing w:val="28"/>
              <w:sz w:val="14"/>
              <w:u w:val="none"/>
            </w:rPr>
            <w:t>Property Investment Report</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17" w:lineRule="auto"/>
    </w:pPr>
    <w:rPr>
      <w:rFonts w:ascii="Calibri" w:hAnsi="Calibri" w:cs="Calibri" w:eastAsia="Calibri"/>
      <w:color w:val="1019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Property Investment Report</dc:title>
  <dc:subject>Full investment case for a single property: the asset, the numbers, the risks and a clear buy / do-not-buy recommendation.</dc:subject>
  <dc:creator>Aurixa Systems</dc:creator>
  <cp:keywords>Property investment, Investment analysis, Acquisition case, Property &amp; Buyer's Agency, Aurixa</cp:keywords>
  <dc:description>Generated by the Aurixa Command Center template library (scripts/aurixa-templates). Edit the builder and regenerate rather than editing this file by hand.</dc:description>
  <cp:lastModifiedBy>Aurixa Systems</cp:lastModifiedBy>
  <cp:revision>1</cp:revision>
  <dcterms:created xsi:type="dcterms:W3CDTF">2013-12-23T23:15:00Z</dcterms:created>
  <dcterms:modified xsi:type="dcterms:W3CDTF">2013-12-23T23:15:00Z</dcterms:modified>
  <cp:category>Aurixa Command Center template</cp:category>
</cp:coreProperties>
</file>