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{{review.period}}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{{review.title}}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{{review.subtitle}}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PERFORMANCE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Period at a glance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headline measures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NEW CLIENTS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SETTLEMENTS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NPS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{{headline.revenue}}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{{headline.newClients}}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5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{{headline.settlements}}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{{headline.nps}}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4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AVG ENGAGEMENT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UTILISATION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PIPELINE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RETENTION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{{headline.averageValue}}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{{headline.utilisation}}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{{headline.pipeline}}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14% QoQ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{{headline.retention}}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— flat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{{review.headline}}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2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{{review.takeaways[2]}}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Results against target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Every measure, one table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Results against target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target"/>
        <w:tblDescription w:val="Columns: Measure, Target, Actual, Variance, Prior qtr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qtr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Variance is actual against target. Movement is actual against the prior quarter on the same basis.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Trend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quarters, one axis convention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28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by service line, last four quarters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The same axis convention is used every period so editions compare   ·   Source: Finance system, quarter close   ·   Alt text: Advisory and compliance grow in each of the last four quarters while transactional revenue declines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and settlements against target, by month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COMBINATION COLUMN AND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{{results.monthly}}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Revenue ahead of target in each month; volume behind it   ·   Source: Finance system   ·   Alt text: Monthly revenue exceeds target while settlement volume falls short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Pipeline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Position entering the next quarter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value by stage, quarter close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Values are expected fee revenue, unweighted. Weighted pipeline at the same date is $3.1m.</w:t>
      </w:r>
    </w:p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detail by stage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ipeline detail by stage"/>
        <w:tblDescription w:val="Columns: Stage, Count, Value, Avg age, Conversion, Movement"/>
      </w:tblPr>
      <w:tblGrid>
        <w:gridCol w:w="2268"/>
        <w:gridCol w:w="1134"/>
        <w:gridCol w:w="1814"/>
        <w:gridCol w:w="1361"/>
        <w:gridCol w:w="1928"/>
        <w:gridCol w:w="1587"/>
      </w:tblGrid>
      <w:tr>
        <w:trPr>
          <w:cantSplit/>
          <w:trHeight w:val="420" w:hRule="atLeast"/>
          <w:tblHeader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Stage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Count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age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Conversion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pipeline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154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$6,900,000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▲ 14%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05   Client outcomes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Evidence, not assertion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{{outcome.title}}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{{outcome.label}}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{{outcome.value}}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{{outcome.title}}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{{outcome.label}}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{{outcome.value}}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{{outcome.title}}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{{outcome.label}}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{{outcome.value}}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06   Issues &amp; blockers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is impeding performance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Issues and blockers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ssues and blocker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07   Priorities next period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Owners and dates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Priorities for the coming quarter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{{priorities[3]}}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{{priorities[4]}}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Key dates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6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Detail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Full measure detail behind the summary tables, on the same basis as the finance system quarter close.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Monthly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onthly detail"/>
        <w:tblDescription w:val="Columns: Measure, Apr, May, Jun, Quarter, Target"/>
      </w:tblPr>
      <w:tblGrid>
        <w:gridCol w:w="2608"/>
        <w:gridCol w:w="1474"/>
        <w:gridCol w:w="1474"/>
        <w:gridCol w:w="1474"/>
        <w:gridCol w:w="1701"/>
        <w:gridCol w:w="1361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Apr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May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Jun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Quarter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Advisory utilisation for the quarter is the average of the three months, not the sum.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Quarterly Business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Business Review</dc:title>
  <dc:subject>Periodic performance review: results against targets, pipeline, client outcomes, issues and the plan for the coming period.</dc:subject>
  <dc:creator>Aurixa Systems</dc:creator>
  <cp:keywords>QBR, Performance review, Periodic review,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