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4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4"/>
                <w:sz w:val="16"/>
                <w:u w:val="none"/>
              </w:rPr>
              <w:t>Q2 FY26  ·  April – June 2026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6"/>
                <w:sz w:val="60"/>
                <w:u w:val="none"/>
              </w:rPr>
              <w:t>Quarterly Business Review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Results against target, pipeline position, client outcomes and the priorities for the coming period.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PERFORMANCE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INTERNAL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J. &amp; S.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CL-2026-0418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A. Nguyen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 July 2026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APR-0418-01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1.0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01   Period at a glance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Four headline measures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REVENUE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NEW CLIENTS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SETTLEMENTS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NPS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$4.28m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8.1% vs target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38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5 vs target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214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▼ 11.9% vs target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+62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4 pts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AVG ENGAGEMENT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UTILISATION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PIPELINE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4"/>
                <w:u w:val="none"/>
              </w:rPr>
              <w:t>RETENTION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$20,000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22.7%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81%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6 pts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$6.9m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▲ 14% QoQ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94%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— flat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Revenue ahead of target on lower volume — the mix has shifted toward advisory, and capacity is now the constraint.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The quarter closed at $4.28m against a target of $3.96m. Volume was behind target at 214 settlements against 243, so the favourable revenue variance was produced entirely by a rise in average engagement value from $16,300 to $20,000.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Advisory and compliance revenue grew 34% and 41% respectively against the prior period, while transactional revenue fell 19%. Client satisfaction held: NPS rose four points to +62 and retention was flat at 94%.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 w:line="326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Advisory utilisation reached 94% in June against a sustainable ceiling of 85%, and four engagements were declined for capacity reasons. Capacity, not demand, is the binding constraint on the next two quarters.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2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Revenue ahead of target; volume behind it — this is a mix result.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Advisory and compliance are growing; transactional is declining with market.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Capacity binds in Q3 on the current trajectory.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6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Client measures are stable to improving across the board.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02   Results against target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Every measure, one table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Results against target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sults against target"/>
        <w:tblDescription w:val="Columns: Measure, Target, Actual, Variance, Prior qtr, Movement"/>
      </w:tblPr>
      <w:tblGrid>
        <w:gridCol w:w="2677"/>
        <w:gridCol w:w="1545"/>
        <w:gridCol w:w="1545"/>
        <w:gridCol w:w="1339"/>
        <w:gridCol w:w="1545"/>
        <w:gridCol w:w="1442"/>
      </w:tblGrid>
      <w:tr>
        <w:trPr>
          <w:cantSplit/>
          <w:trHeight w:val="420" w:hRule="atLeast"/>
          <w:tblHeader/>
        </w:trPr>
        <w:tc>
          <w:tcPr>
            <w:tcW w:type="dxa" w:w="267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Measure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Actual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Variance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qtr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Movement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$3,960,000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$4,280,000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+8.1%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$3,742,000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+14.4%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Settlements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243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214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−11.9%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229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−6.6%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Average engagement value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$16,300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$20,000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+22.7%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$16,340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+22.4%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Advisory 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$1,180,000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$1,581,000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+34.0%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$1,180,000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+34.0%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Compliance 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$742,000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$1,046,000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+41.0%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$742,000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+41.0%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0192A"/>
                <w:sz w:val="17"/>
                <w:u w:val="none"/>
              </w:rPr>
              <w:t>Transactional revenue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$2,038,000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$1,653,000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−18.9%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$2,040,000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−19.0%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New clients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33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38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+15.2%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31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+22.6%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Client retention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94%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94%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94%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Net promoter score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+58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+62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+4 pts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+58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+4 pts</w:t>
            </w:r>
          </w:p>
        </w:tc>
      </w:tr>
      <w:tr>
        <w:trPr>
          <w:cantSplit/>
          <w:trHeight w:val="397" w:hRule="atLeast"/>
        </w:trPr>
        <w:tc>
          <w:tcPr>
            <w:tcW w:type="dxa" w:w="267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Delivery utilisation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75%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81%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+6 pts</w:t>
            </w:r>
          </w:p>
        </w:tc>
        <w:tc>
          <w:tcPr>
            <w:tcW w:type="dxa" w:w="154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76%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+5 pts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Variance is actual against target. Movement is actual against the prior quarter on the same basis.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03   Trend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Four quarters, one axis convention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288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Revenue by service line, last four quarters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STACKED COLUMN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{{results.series}}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The same axis convention is used every period so editions compare   ·   Source: Finance system, quarter close   ·   Alt text: Advisory and compliance grow in each of the last four quarters while transactional revenue declines</w:t>
      </w:r>
    </w:p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061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Revenue and settlements against target, by month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COMBINATION COLUMN AND LINE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{{results.monthly}}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Revenue ahead of target in each month; volume behind it   ·   Source: Finance system   ·   Alt text: Monthly revenue exceeds target while settlement volume falls short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04   Pipeline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Position entering the next quarter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Pipeline value by stage, quarter close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Qualified enquiry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5651"/>
              <w:gridCol w:w="34"/>
            </w:tblGrid>
            <w:tr>
              <w:trPr>
                <w:cantSplit/>
              </w:trPr>
              <w:tc>
                <w:tcPr>
                  <w:tcW w:type="dxa" w:w="5651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4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$2.4m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Brief agreed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238"/>
              <w:gridCol w:w="1413"/>
            </w:tblGrid>
            <w:tr>
              <w:trPr>
                <w:cantSplit/>
              </w:trPr>
              <w:tc>
                <w:tcPr>
                  <w:tcW w:type="dxa" w:w="4238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1413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$1.8m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Under search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32"/>
              <w:gridCol w:w="2119"/>
            </w:tblGrid>
            <w:tr>
              <w:trPr>
                <w:cantSplit/>
              </w:trPr>
              <w:tc>
                <w:tcPr>
                  <w:tcW w:type="dxa" w:w="3532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119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$1.5m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Offer stage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884"/>
              <w:gridCol w:w="3767"/>
            </w:tblGrid>
            <w:tr>
              <w:trPr>
                <w:cantSplit/>
              </w:trPr>
              <w:tc>
                <w:tcPr>
                  <w:tcW w:type="dxa" w:w="1884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767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$0.8m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Exchanged, unsettled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42"/>
              <w:gridCol w:w="4709"/>
            </w:tblGrid>
            <w:tr>
              <w:trPr>
                <w:cantSplit/>
              </w:trPr>
              <w:tc>
                <w:tcPr>
                  <w:tcW w:type="dxa" w:w="942"/>
                  <w:shd w:val="clear" w:color="auto" w:fill="0E8A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4709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$0.4m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Values are expected fee revenue, unweighted. Weighted pipeline at the same date is $3.1m.</w:t>
      </w:r>
    </w:p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Pipeline detail by stage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ipeline detail by stage"/>
        <w:tblDescription w:val="Columns: Stage, Count, Value, Avg age, Conversion, Movement"/>
      </w:tblPr>
      <w:tblGrid>
        <w:gridCol w:w="2268"/>
        <w:gridCol w:w="1134"/>
        <w:gridCol w:w="1814"/>
        <w:gridCol w:w="1361"/>
        <w:gridCol w:w="1928"/>
        <w:gridCol w:w="1587"/>
      </w:tblGrid>
      <w:tr>
        <w:trPr>
          <w:cantSplit/>
          <w:trHeight w:val="420" w:hRule="atLeast"/>
          <w:tblHeader/>
        </w:trPr>
        <w:tc>
          <w:tcPr>
            <w:tcW w:type="dxa" w:w="22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Stage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Count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Value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Avg age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Conversion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Movement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Qualified enquiry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61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$2,400,000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 days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34%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▲ 12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Brief agreed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42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$1,800,000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21 days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71%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▲ 6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Under search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29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$1,500,000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48 days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84%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▲ 3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Offer stage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14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$800,000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11 days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▼ 2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Exchanged, unsettled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8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$400,000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26 days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99%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— flat</w:t>
            </w:r>
          </w:p>
        </w:tc>
      </w:tr>
      <w:tr>
        <w:trPr>
          <w:cantSplit/>
          <w:trHeight w:val="397" w:hRule="atLeast"/>
        </w:trPr>
        <w:tc>
          <w:tcPr>
            <w:tcW w:type="dxa" w:w="22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pipeline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154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$6,900,000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—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—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▲ 14%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05   Client outcomes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Evidence, not assertion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Outcome — Off-market acquisition, lower north shore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97"/>
              <w:gridCol w:w="7275"/>
            </w:tblGrid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Brief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Investment house, 500m²+, within 12km, yield above 4.2%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Constraint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Client had searched nine months without success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What we did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Narrowed to two corridors; sourced off market in week seven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Result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Exchanged 3.4% below vendor guide; 4.7% gross yield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9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Outcome — Refinance and equity release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97"/>
              <w:gridCol w:w="7275"/>
            </w:tblGrid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Brief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Release equity for a third acquisition without extending the term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Constraint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Existing lender would not lend above 72% on the security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What we did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Restructured across two lenders; split fixed and variable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Result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$310,000 released; repayment $84/month lower than before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9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9" w:type="dxa"/>
              <w:left w:w="220" w:type="dxa"/>
              <w:bottom w:w="189" w:type="dxa"/>
              <w:right w:w="2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2"/>
                <w:sz w:val="15"/>
                <w:u w:val="none"/>
              </w:rPr>
              <w:t>Outcome — First-time investor onboarding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97"/>
              <w:gridCol w:w="7275"/>
            </w:tblGrid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Brief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First investment purchase under $700,000, positive cash flow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Constraint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Serviceability marginal at the client's preferred lender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What we did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Re-modelled with a second lender; adjusted the target yield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9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Result</w:t>
                  </w:r>
                </w:p>
              </w:tc>
              <w:tc>
                <w:tcPr>
                  <w:tcW w:type="dxa" w:w="7275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5" w:type="dxa"/>
                    <w:left w:w="147" w:type="dxa"/>
                    <w:bottom w:w="105" w:type="dxa"/>
                    <w:right w:w="147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Settled at $648,000; cash flow positive from month one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9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06   Issues &amp; blockers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What is impeding performance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2"/>
          <w:sz w:val="15"/>
          <w:u w:val="none"/>
        </w:rPr>
        <w:t>Issues and blockers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Issues and blocker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Advisory delivery capacity at 94% utilisation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>▲  HIGH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Four engagements declined in the quarter. Re-weighting proposal goes to the board on 19 August; retraining begins the following week.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Advisory revenue concentrated in two clients (31%)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ECEA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3261E"/>
                <w:sz w:val="17"/>
                <w:u w:val="none"/>
              </w:rPr>
              <w:t>▲  HIGH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Business development target of four new advisory clients by Q3, reported monthly against a named prospect list.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Transactional volumes tracking a market-wide decline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Share is unchanged at 4.1%, so this is market rather than performance. Monitored monthly with a re-weight trigger at +15%.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Like-for-like pricing unchanged for seven quarters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Pricing review commissioned; reports in Q2 with a recommendation on advisory rates.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shd w:val="clear" w:color="auto" w:fill="1D6FE0"/>
            <w:tcMar>
              <w:top w:w="60" w:type="dxa"/>
              <w:left w:w="150" w:type="dxa"/>
              <w:bottom w:w="6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0"/>
                <w:sz w:val="16"/>
                <w:u w:val="none"/>
              </w:rPr>
              <w:t>07   Priorities next period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5"/>
                <w:u w:val="none"/>
              </w:rPr>
              <w:t>Owners and dates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Priorities for the coming quarter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Secure board approval for delivery capacity re-weighting (19 August).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Begin cohort 1 retraining; two staff, accreditation complete by 30 September.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Deliver the pricing review with a recommendation on advisory rates.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Add four new advisory clients against the named prospect list.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Hold advisory utilisation at or below 88% through the transition.</w:t>
            </w:r>
          </w:p>
        </w:tc>
        <w:tc>
          <w:tcPr>
            <w:tcW w:type="dxa" w:w="17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44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Key dates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July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Pricing review fieldwork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Benchmarking complete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August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Board decision on re-weighting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Item 7.2, 19 August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September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Cohort 1 accreditation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Two staff in production by 1 October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October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Quarter close and next review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Q3 QBR issued 14 October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6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Detail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Full measure detail behind the summary tables, on the same basis as the finance system quarter close.</w:t>
      </w:r>
    </w:p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2"/>
          <w:sz w:val="15"/>
          <w:u w:val="none"/>
        </w:rPr>
        <w:t>Monthly detail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Monthly detail"/>
        <w:tblDescription w:val="Columns: Measure, Apr, May, Jun, Quarter, Target"/>
      </w:tblPr>
      <w:tblGrid>
        <w:gridCol w:w="2608"/>
        <w:gridCol w:w="1474"/>
        <w:gridCol w:w="1474"/>
        <w:gridCol w:w="1474"/>
        <w:gridCol w:w="1701"/>
        <w:gridCol w:w="1361"/>
      </w:tblGrid>
      <w:tr>
        <w:trPr>
          <w:cantSplit/>
          <w:trHeight w:val="420" w:hRule="atLeast"/>
          <w:tblHeader/>
        </w:trPr>
        <w:tc>
          <w:tcPr>
            <w:tcW w:type="dxa" w:w="26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Measure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Apr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May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Jun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Quarter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554AE"/>
            <w:tcMar>
              <w:top w:w="105" w:type="dxa"/>
              <w:left w:w="147" w:type="dxa"/>
              <w:bottom w:w="105" w:type="dxa"/>
              <w:right w:w="147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Revenue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$1,384,000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$1,401,000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$1,495,000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$4,280,000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$3,960,000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Settlements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74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68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72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214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243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New clients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12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13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13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33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Advisory utilisation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76%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84%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94%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85%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75%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Declined engagements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3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4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0</w:t>
            </w:r>
          </w:p>
        </w:tc>
      </w:tr>
      <w:tr>
        <w:trPr>
          <w:cantSplit/>
          <w:trHeight w:val="397" w:hRule="atLeast"/>
        </w:trPr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Net promoter score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+59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+61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+62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+62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5" w:type="dxa"/>
              <w:left w:w="147" w:type="dxa"/>
              <w:bottom w:w="105" w:type="dxa"/>
              <w:right w:w="147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+58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Advisory utilisation for the quarter is the average of the three months, not the sum.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APR-0418-01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v1.0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2"/>
              <w:sz w:val="14"/>
              <w:u w:val="none"/>
            </w:rPr>
            <w:t>Quarterly Business Review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6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Business Review</dc:title>
  <dc:subject>Periodic performance review: results against targets, pipeline, client outcomes, issues and the plan for the coming period.</dc:subject>
  <dc:creator>Aurixa Systems</dc:creator>
  <cp:keywords>QBR, Performance review, Periodic review, Business &amp; Advisory,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