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2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6"/>
                <w:sz w:val="16"/>
                <w:u w:val="none"/>
              </w:rPr>
              <w:t>Switching analysis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BREAK-EVEN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AS AT 31/07/26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/>
        <w:keepLines/>
        <w:pageBreakBefore w:val="1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01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Verdict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The answer first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VERDICT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{{report.verdict}}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{{report.verdictRationale}}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{{report.verdictActions[0]}}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{{report.verdictActions[1]}}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{{report.verdictActions[2]}}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02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Headline numbers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changes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MONTHLY SAVING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ANNUAL SAVING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SWITCHING COST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BREAK-EVEN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{{refinance.monthly}}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First year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{{refinance.annual}}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At current balance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{{refinance.cost}}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All fees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{{refinance.breakEven}}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Cost recovered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03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Current position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you have now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Current facility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urrent facility"/>
        <w:tblDescription w:val="Columns: Item, Detail"/>
      </w:tblPr>
      <w:tblGrid>
        <w:gridCol w:w="3969"/>
        <w:gridCol w:w="6123"/>
      </w:tblGrid>
      <w:tr>
        <w:trPr>
          <w:cantSplit/>
          <w:trHeight w:val="420" w:hRule="atLeast"/>
          <w:tblHeader/>
        </w:trPr>
        <w:tc>
          <w:tcPr>
            <w:tcW w:type="dxa" w:w="39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612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Detail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612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612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612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612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612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612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612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6123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{{detail}}</w:t>
            </w:r>
          </w:p>
        </w:tc>
      </w:tr>
    </w:tbl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04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Proposed position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replaces it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Proposed facility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roposed facility"/>
        <w:tblDescription w:val="Columns: Item, Proposed, Current, Change"/>
      </w:tblPr>
      <w:tblGrid>
        <w:gridCol w:w="3175"/>
        <w:gridCol w:w="2494"/>
        <w:gridCol w:w="2494"/>
        <w:gridCol w:w="1928"/>
      </w:tblGrid>
      <w:tr>
        <w:trPr>
          <w:cantSplit/>
          <w:trHeight w:val="420" w:hRule="atLeast"/>
          <w:tblHeader/>
        </w:trPr>
        <w:tc>
          <w:tcPr>
            <w:tcW w:type="dxa" w:w="317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4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Proposed</w:t>
            </w:r>
          </w:p>
        </w:tc>
        <w:tc>
          <w:tcPr>
            <w:tcW w:type="dxa" w:w="24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Current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Change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{{proposed}}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{{proposed}}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{{proposed}}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{{proposed}}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{{proposed}}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{{proposed}}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</w:tr>
      <w:tr>
        <w:trPr>
          <w:cantSplit/>
          <w:trHeight w:val="397" w:hRule="atLeast"/>
        </w:trPr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{{proposed}}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{{current}}</w:t>
            </w:r>
          </w:p>
        </w:tc>
        <w:tc>
          <w:tcPr>
            <w:tcW w:type="dxa" w:w="192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{{change}}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Term is deliberately retained rather than reset to 30 years. Resetting would lower the repayment further but would add approximately $71,000 of interest over the life of the loan.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05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Switching costs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it costs to move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Switching costs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witching costs"/>
        <w:tblDescription w:val="Columns: Cost, Amount, Payable to, Note"/>
      </w:tblPr>
      <w:tblGrid>
        <w:gridCol w:w="3515"/>
        <w:gridCol w:w="1474"/>
        <w:gridCol w:w="2608"/>
        <w:gridCol w:w="2494"/>
      </w:tblGrid>
      <w:tr>
        <w:trPr>
          <w:cantSplit/>
          <w:trHeight w:val="420" w:hRule="atLeast"/>
          <w:tblHeader/>
        </w:trPr>
        <w:tc>
          <w:tcPr>
            <w:tcW w:type="dxa" w:w="351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Cost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Payable to</w:t>
            </w:r>
          </w:p>
        </w:tc>
        <w:tc>
          <w:tcPr>
            <w:tcW w:type="dxa" w:w="24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Note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47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60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47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60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47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60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47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60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47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60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{{cost}}</w:t>
            </w:r>
          </w:p>
        </w:tc>
        <w:tc>
          <w:tcPr>
            <w:tcW w:type="dxa" w:w="147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60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{{payable}}</w:t>
            </w: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switching cost</w:t>
            </w:r>
          </w:p>
        </w:tc>
        <w:tc>
          <w:tcPr>
            <w:tcW w:type="dxa" w:w="147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$2,340</w:t>
            </w:r>
          </w:p>
        </w:tc>
        <w:tc>
          <w:tcPr>
            <w:tcW w:type="dxa" w:w="2608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49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06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Break-even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When the switch pays for itself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Cumulative saving against switching cost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{{point.label}}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{{point.value}}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{{point.label}}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{{point.value}}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{{point.label}}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{{point.value}}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{{point.label}}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{{point.value}}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{{point.label}}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E8AA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{{point.value}}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Break-even is the month in which cumulative saving first exceeds the $2,340 switching cost. Savings after that point are net.</w:t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07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Considerations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you give up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24"/>
          <w:sz w:val="15"/>
          <w:u w:val="none"/>
        </w:rPr>
        <w:t>Considerations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nsider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08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Next steps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we need from you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Before we lodge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{{nextSteps[0]}}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{{nextSteps[1]}}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{{nextSteps[2]}}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{{nextSteps[3]}}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{{nextSteps[4]}}</w:t>
            </w:r>
          </w:p>
        </w:tc>
      </w:tr>
    </w:tbl>
    <w:p>
      <w:pPr>
        <w:keepNext/>
        <w:keepLines/>
        <w:pageBreakBefore w:val="1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Refinance Assessment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Refinance Assessment</dc:title>
  <dc:subject>Whether refinancing is worthwhile: current position, proposed position, switching costs, break-even point and net benefit over the hold period.</dc:subject>
  <dc:creator>Aurixa Systems</dc:creator>
  <cp:keywords>Refinance, Loan review, Switching analysis,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