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2"/>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6"/>
                <w:sz w:val="16"/>
                <w:u w:val="none"/>
              </w:rPr>
              <w:t>Switching analysis</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4"/>
                <w:sz w:val="60"/>
                <w:u w:val="none"/>
              </w:rPr>
              <w:t>Refinance Assessment</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Whether refinancing is worth doing, what it costs to switch, and after how many months it pays for itself.</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4309"/>
              <w:gridCol w:w="4309"/>
            </w:tblGrid>
            <w:tr>
              <w:trPr>
                <w:cantSplit/>
              </w:trPr>
              <w:tc>
                <w:tcPr>
                  <w:tcW w:type="dxa" w:w="4309"/>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BREAK-EVEN</w:t>
                  </w:r>
                </w:p>
              </w:tc>
              <w:tc>
                <w:tcPr>
                  <w:tcW w:type="dxa" w:w="4309"/>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AS AT 31/07/26</w:t>
                  </w:r>
                </w:p>
              </w:tc>
            </w:tr>
          </w:tbl>
          <w:p/>
        </w:tc>
      </w:tr>
    </w:tbl>
    <w:p>
      <w:pPr>
        <w:keepNext w:val="0"/>
        <w:keepLines/>
        <w:pageBreakBefore w:val="0"/>
        <w:widowControl w:val="1"/>
        <w:spacing w:before="0" w:after="0" w:line="39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88" w:type="dxa"/>
              <w:left w:w="123" w:type="dxa"/>
              <w:bottom w:w="88" w:type="dxa"/>
              <w:right w:w="123"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88" w:type="dxa"/>
              <w:left w:w="123" w:type="dxa"/>
              <w:bottom w:w="88" w:type="dxa"/>
              <w:right w:w="123"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keepLines/>
        <w:pageBreakBefore w:val="1"/>
        <w:widowControl w:val="1"/>
        <w:pBdr>
          <w:bottom w:val="single" w:sz="10" w:space="4" w:color="1D6FE0"/>
        </w:pBdr>
        <w:spacing w:before="0" w:after="0"/>
      </w:pPr>
      <w:r>
        <w:rPr>
          <w:rFonts w:ascii="Calibri" w:hAnsi="Calibri" w:cs="Calibri" w:eastAsia="Calibri"/>
          <w:b/>
          <w:i w:val="0"/>
          <w:color w:val="1D6FE0"/>
          <w:sz w:val="25"/>
          <w:u w:val="none"/>
        </w:rPr>
        <w:t xml:space="preserve">01  </w:t>
      </w:r>
      <w:r>
        <w:rPr>
          <w:rFonts w:ascii="Calibri" w:hAnsi="Calibri" w:cs="Calibri" w:eastAsia="Calibri"/>
          <w:b/>
          <w:i w:val="0"/>
          <w:caps w:val="1"/>
          <w:color w:val="0C2340"/>
          <w:spacing w:val="14"/>
          <w:sz w:val="25"/>
          <w:u w:val="none"/>
        </w:rPr>
        <w:t>Verdict</w:t>
      </w:r>
    </w:p>
    <w:p>
      <w:pPr>
        <w:keepNext/>
        <w:keepLines/>
        <w:pageBreakBefore w:val="0"/>
        <w:widowControl w:val="1"/>
        <w:spacing w:before="100" w:after="0"/>
      </w:pPr>
      <w:r>
        <w:rPr>
          <w:rFonts w:ascii="Calibri" w:hAnsi="Calibri" w:cs="Calibri" w:eastAsia="Calibri"/>
          <w:b w:val="0"/>
          <w:i w:val="0"/>
          <w:color w:val="4C5B73"/>
          <w:sz w:val="15"/>
          <w:u w:val="none"/>
        </w:rPr>
        <w:t>The answer first</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D6FE0"/>
              <w:left w:val="single" w:sz="26" w:space="0" w:color="1D6FE0"/>
              <w:bottom w:val="single" w:sz="6" w:space="0" w:color="1D6FE0"/>
              <w:right w:val="single" w:sz="6" w:space="0" w:color="1D6FE0"/>
            </w:tcBorders>
            <w:shd w:val="clear" w:color="auto" w:fill="F2F7FE"/>
            <w:tcMar>
              <w:top w:w="158" w:type="dxa"/>
              <w:left w:w="184" w:type="dxa"/>
              <w:bottom w:w="158" w:type="dxa"/>
              <w:right w:w="184" w:type="dxa"/>
            </w:tcMar>
          </w:tcPr>
          <w:p>
            <w:pPr>
              <w:keepNext/>
              <w:keepLines/>
              <w:pageBreakBefore w:val="0"/>
              <w:widowControl w:val="1"/>
              <w:spacing w:before="0" w:after="100"/>
            </w:pPr>
            <w:r>
              <w:rPr>
                <w:rFonts w:ascii="Calibri" w:hAnsi="Calibri" w:cs="Calibri" w:eastAsia="Calibri"/>
                <w:b/>
                <w:i w:val="0"/>
                <w:caps w:val="1"/>
                <w:color w:val="1D6FE0"/>
                <w:spacing w:val="24"/>
                <w:sz w:val="15"/>
                <w:u w:val="none"/>
              </w:rPr>
              <w:t>VERDICT</w:t>
            </w:r>
            <w:r>
              <w:rPr>
                <w:rFonts w:ascii="Calibri" w:hAnsi="Calibri" w:cs="Calibri" w:eastAsia="Calibri"/>
                <w:b/>
                <w:i w:val="0"/>
                <w:caps w:val="1"/>
                <w:color w:val="4C5B73"/>
                <w:spacing w:val="24"/>
                <w:sz w:val="14"/>
                <w:u w:val="none"/>
              </w:rPr>
              <w:t xml:space="preserve">     CONFIDENCE: HIGH</w:t>
            </w:r>
          </w:p>
          <w:p>
            <w:pPr>
              <w:keepNext w:val="0"/>
              <w:keepLines/>
              <w:pageBreakBefore w:val="0"/>
              <w:widowControl w:val="1"/>
              <w:spacing w:before="0" w:after="120" w:line="298" w:lineRule="auto"/>
            </w:pPr>
            <w:r>
              <w:rPr>
                <w:rFonts w:ascii="Calibri" w:hAnsi="Calibri" w:cs="Calibri" w:eastAsia="Calibri"/>
                <w:b/>
                <w:i w:val="0"/>
                <w:color w:val="0C2340"/>
                <w:sz w:val="22"/>
                <w:u w:val="none"/>
              </w:rPr>
              <w:t>Refinance. The switch saves $4,128 a year and pays back its $2,340 cost in seven months.</w:t>
            </w:r>
          </w:p>
          <w:p>
            <w:pPr>
              <w:keepNext w:val="0"/>
              <w:keepLines/>
              <w:pageBreakBefore w:val="0"/>
              <w:widowControl w:val="1"/>
              <w:spacing w:before="0" w:after="0" w:line="307" w:lineRule="auto"/>
            </w:pPr>
            <w:r>
              <w:rPr>
                <w:rFonts w:ascii="Calibri" w:hAnsi="Calibri" w:cs="Calibri" w:eastAsia="Calibri"/>
                <w:b w:val="0"/>
                <w:i w:val="0"/>
                <w:color w:val="10192A"/>
                <w:sz w:val="17"/>
                <w:u w:val="none"/>
              </w:rPr>
              <w:t>Your current rate of 6.84% is 0.70% above the best available on your profile. On a balance of $589,400 that is $4,128 a year, against a total switching cost of $2,340. Even allowing for a further 0.15% of rate creep at the new lender over two years, the switch is clearly worthwhile.</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Next steps</w:t>
            </w:r>
          </w:p>
          <w:p>
            <w:pPr>
              <w:keepNext w:val="0"/>
              <w:keepLines/>
              <w:pageBreakBefore w:val="0"/>
              <w:widowControl w:val="1"/>
              <w:tabs>
                <w:tab w:val="left" w:pos="320"/>
              </w:tabs>
              <w:spacing w:before="0" w:after="0" w:line="307" w:lineRule="auto"/>
              <w:ind w:left="320" w:hanging="320"/>
            </w:pPr>
            <w:r>
              <w:rPr>
                <w:rFonts w:ascii="Calibri" w:hAnsi="Calibri" w:cs="Calibri" w:eastAsia="Calibri"/>
                <w:b/>
                <w:i w:val="0"/>
                <w:color w:val="1D6FE0"/>
                <w:sz w:val="19"/>
                <w:u w:val="none"/>
              </w:rPr>
              <w:t>1.</w:t>
            </w:r>
            <w:r>
              <w:rPr>
                <w:rFonts w:ascii="Calibri" w:hAnsi="Calibri" w:cs="Calibri" w:eastAsia="Calibri"/>
                <w:b w:val="0"/>
                <w:i w:val="0"/>
                <w:color w:val="10192A"/>
                <w:sz w:val="19"/>
                <w:u w:val="none"/>
              </w:rPr>
              <w:tab/>
              <w:t>Confirm you are comfortable losing the redraw history on the current loan.</w:t>
            </w:r>
          </w:p>
          <w:p>
            <w:pPr>
              <w:keepNext w:val="0"/>
              <w:keepLines/>
              <w:pageBreakBefore w:val="0"/>
              <w:widowControl w:val="1"/>
              <w:tabs>
                <w:tab w:val="left" w:pos="320"/>
              </w:tabs>
              <w:spacing w:before="80" w:after="0" w:line="307" w:lineRule="auto"/>
              <w:ind w:left="320" w:hanging="320"/>
            </w:pPr>
            <w:r>
              <w:rPr>
                <w:rFonts w:ascii="Calibri" w:hAnsi="Calibri" w:cs="Calibri" w:eastAsia="Calibri"/>
                <w:b/>
                <w:i w:val="0"/>
                <w:color w:val="1D6FE0"/>
                <w:sz w:val="19"/>
                <w:u w:val="none"/>
              </w:rPr>
              <w:t>2.</w:t>
            </w:r>
            <w:r>
              <w:rPr>
                <w:rFonts w:ascii="Calibri" w:hAnsi="Calibri" w:cs="Calibri" w:eastAsia="Calibri"/>
                <w:b w:val="0"/>
                <w:i w:val="0"/>
                <w:color w:val="10192A"/>
                <w:sz w:val="19"/>
                <w:u w:val="none"/>
              </w:rPr>
              <w:tab/>
              <w:t>Provide two recent payslips and the last twelve months of loan statements.</w:t>
            </w:r>
          </w:p>
          <w:p>
            <w:pPr>
              <w:keepNext w:val="0"/>
              <w:keepLines/>
              <w:pageBreakBefore w:val="0"/>
              <w:widowControl w:val="1"/>
              <w:tabs>
                <w:tab w:val="left" w:pos="320"/>
              </w:tabs>
              <w:spacing w:before="80" w:after="0" w:line="307" w:lineRule="auto"/>
              <w:ind w:left="320" w:hanging="320"/>
            </w:pPr>
            <w:r>
              <w:rPr>
                <w:rFonts w:ascii="Calibri" w:hAnsi="Calibri" w:cs="Calibri" w:eastAsia="Calibri"/>
                <w:b/>
                <w:i w:val="0"/>
                <w:color w:val="1D6FE0"/>
                <w:sz w:val="19"/>
                <w:u w:val="none"/>
              </w:rPr>
              <w:t>3.</w:t>
            </w:r>
            <w:r>
              <w:rPr>
                <w:rFonts w:ascii="Calibri" w:hAnsi="Calibri" w:cs="Calibri" w:eastAsia="Calibri"/>
                <w:b w:val="0"/>
                <w:i w:val="0"/>
                <w:color w:val="10192A"/>
                <w:sz w:val="19"/>
                <w:u w:val="none"/>
              </w:rPr>
              <w:tab/>
              <w:t>We lodge the application; expect settlement in four to six weeks.</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02  </w:t>
      </w:r>
      <w:r>
        <w:rPr>
          <w:rFonts w:ascii="Calibri" w:hAnsi="Calibri" w:cs="Calibri" w:eastAsia="Calibri"/>
          <w:b/>
          <w:i w:val="0"/>
          <w:caps w:val="1"/>
          <w:color w:val="0C2340"/>
          <w:spacing w:val="14"/>
          <w:sz w:val="25"/>
          <w:u w:val="none"/>
        </w:rPr>
        <w:t>Headline numbers</w:t>
      </w:r>
    </w:p>
    <w:p>
      <w:pPr>
        <w:keepNext/>
        <w:keepLines/>
        <w:pageBreakBefore w:val="0"/>
        <w:widowControl w:val="1"/>
        <w:spacing w:before="100" w:after="0"/>
      </w:pPr>
      <w:r>
        <w:rPr>
          <w:rFonts w:ascii="Calibri" w:hAnsi="Calibri" w:cs="Calibri" w:eastAsia="Calibri"/>
          <w:b w:val="0"/>
          <w:i w:val="0"/>
          <w:color w:val="4C5B73"/>
          <w:sz w:val="15"/>
          <w:u w:val="none"/>
        </w:rPr>
        <w:t>What changes</w:t>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MONTHLY SAVING</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ANNUAL SAVING</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SWITCHING COST</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4"/>
                <w:sz w:val="14"/>
                <w:u w:val="none"/>
              </w:rPr>
              <w:t>BREAK-EVEN</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$344</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First year</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$4,128</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At current balance</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$2,340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All fees</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7 months</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Cost recovered</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03  </w:t>
      </w:r>
      <w:r>
        <w:rPr>
          <w:rFonts w:ascii="Calibri" w:hAnsi="Calibri" w:cs="Calibri" w:eastAsia="Calibri"/>
          <w:b/>
          <w:i w:val="0"/>
          <w:caps w:val="1"/>
          <w:color w:val="0C2340"/>
          <w:spacing w:val="14"/>
          <w:sz w:val="25"/>
          <w:u w:val="none"/>
        </w:rPr>
        <w:t>Current position</w:t>
      </w:r>
    </w:p>
    <w:p>
      <w:pPr>
        <w:keepNext/>
        <w:keepLines/>
        <w:pageBreakBefore w:val="0"/>
        <w:widowControl w:val="1"/>
        <w:spacing w:before="100" w:after="0"/>
      </w:pPr>
      <w:r>
        <w:rPr>
          <w:rFonts w:ascii="Calibri" w:hAnsi="Calibri" w:cs="Calibri" w:eastAsia="Calibri"/>
          <w:b w:val="0"/>
          <w:i w:val="0"/>
          <w:color w:val="4C5B73"/>
          <w:sz w:val="15"/>
          <w:u w:val="none"/>
        </w:rPr>
        <w:t>What you have now</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Current facility</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urrent facility"/>
        <w:tblDescription w:val="Columns: Item, Detail"/>
      </w:tblPr>
      <w:tblGrid>
        <w:gridCol w:w="3969"/>
        <w:gridCol w:w="6123"/>
      </w:tblGrid>
      <w:tr>
        <w:trPr>
          <w:cantSplit/>
          <w:trHeight w:val="420" w:hRule="atLeast"/>
          <w:tblHeader/>
        </w:trPr>
        <w:tc>
          <w:tcPr>
            <w:tcW w:type="dxa" w:w="3969"/>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6123"/>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Detail</w:t>
            </w:r>
          </w:p>
        </w:tc>
      </w:tr>
      <w:tr>
        <w:trPr>
          <w:cantSplit/>
          <w:trHeight w:val="397" w:hRule="atLeast"/>
        </w:trPr>
        <w:tc>
          <w:tcPr>
            <w:tcW w:type="dxa" w:w="3969"/>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w:t>
            </w:r>
          </w:p>
        </w:tc>
        <w:tc>
          <w:tcPr>
            <w:tcW w:type="dxa" w:w="612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Current lender</w:t>
            </w:r>
          </w:p>
        </w:tc>
      </w:tr>
      <w:tr>
        <w:trPr>
          <w:cantSplit/>
          <w:trHeight w:val="397" w:hRule="atLeast"/>
        </w:trPr>
        <w:tc>
          <w:tcPr>
            <w:tcW w:type="dxa" w:w="3969"/>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Product</w:t>
            </w:r>
          </w:p>
        </w:tc>
        <w:tc>
          <w:tcPr>
            <w:tcW w:type="dxa" w:w="612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Standard variable, investment</w:t>
            </w:r>
          </w:p>
        </w:tc>
      </w:tr>
      <w:tr>
        <w:trPr>
          <w:cantSplit/>
          <w:trHeight w:val="397" w:hRule="atLeast"/>
        </w:trPr>
        <w:tc>
          <w:tcPr>
            <w:tcW w:type="dxa" w:w="3969"/>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Balance</w:t>
            </w:r>
          </w:p>
        </w:tc>
        <w:tc>
          <w:tcPr>
            <w:tcW w:type="dxa" w:w="612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$589,400</w:t>
            </w:r>
          </w:p>
        </w:tc>
      </w:tr>
      <w:tr>
        <w:trPr>
          <w:cantSplit/>
          <w:trHeight w:val="397" w:hRule="atLeast"/>
        </w:trPr>
        <w:tc>
          <w:tcPr>
            <w:tcW w:type="dxa" w:w="3969"/>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Rate</w:t>
            </w:r>
          </w:p>
        </w:tc>
        <w:tc>
          <w:tcPr>
            <w:tcW w:type="dxa" w:w="612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6.84%</w:t>
            </w:r>
          </w:p>
        </w:tc>
      </w:tr>
      <w:tr>
        <w:trPr>
          <w:cantSplit/>
          <w:trHeight w:val="397" w:hRule="atLeast"/>
        </w:trPr>
        <w:tc>
          <w:tcPr>
            <w:tcW w:type="dxa" w:w="3969"/>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Comparison rate</w:t>
            </w:r>
          </w:p>
        </w:tc>
        <w:tc>
          <w:tcPr>
            <w:tcW w:type="dxa" w:w="612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6.91%</w:t>
            </w:r>
          </w:p>
        </w:tc>
      </w:tr>
      <w:tr>
        <w:trPr>
          <w:cantSplit/>
          <w:trHeight w:val="397" w:hRule="atLeast"/>
        </w:trPr>
        <w:tc>
          <w:tcPr>
            <w:tcW w:type="dxa" w:w="3969"/>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Repayment type</w:t>
            </w:r>
          </w:p>
        </w:tc>
        <w:tc>
          <w:tcPr>
            <w:tcW w:type="dxa" w:w="612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Principal and interest</w:t>
            </w:r>
          </w:p>
        </w:tc>
      </w:tr>
      <w:tr>
        <w:trPr>
          <w:cantSplit/>
          <w:trHeight w:val="397" w:hRule="atLeast"/>
        </w:trPr>
        <w:tc>
          <w:tcPr>
            <w:tcW w:type="dxa" w:w="3969"/>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Remaining term</w:t>
            </w:r>
          </w:p>
        </w:tc>
        <w:tc>
          <w:tcPr>
            <w:tcW w:type="dxa" w:w="612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26 years 4 months</w:t>
            </w:r>
          </w:p>
        </w:tc>
      </w:tr>
      <w:tr>
        <w:trPr>
          <w:cantSplit/>
          <w:trHeight w:val="397" w:hRule="atLeast"/>
        </w:trPr>
        <w:tc>
          <w:tcPr>
            <w:tcW w:type="dxa" w:w="3969"/>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Monthly repayment</w:t>
            </w:r>
          </w:p>
        </w:tc>
        <w:tc>
          <w:tcPr>
            <w:tcW w:type="dxa" w:w="612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$3,946</w:t>
            </w:r>
          </w:p>
        </w:tc>
      </w:tr>
      <w:tr>
        <w:trPr>
          <w:cantSplit/>
          <w:trHeight w:val="397" w:hRule="atLeast"/>
        </w:trPr>
        <w:tc>
          <w:tcPr>
            <w:tcW w:type="dxa" w:w="3969"/>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Annual fees</w:t>
            </w:r>
          </w:p>
        </w:tc>
        <w:tc>
          <w:tcPr>
            <w:tcW w:type="dxa" w:w="612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$395</w:t>
            </w:r>
          </w:p>
        </w:tc>
      </w:tr>
      <w:tr>
        <w:trPr>
          <w:cantSplit/>
          <w:trHeight w:val="397" w:hRule="atLeast"/>
        </w:trPr>
        <w:tc>
          <w:tcPr>
            <w:tcW w:type="dxa" w:w="3969"/>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Offset balance</w:t>
            </w:r>
          </w:p>
        </w:tc>
        <w:tc>
          <w:tcPr>
            <w:tcW w:type="dxa" w:w="6123"/>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$41,200</w:t>
            </w:r>
          </w:p>
        </w:tc>
      </w:tr>
      <w:tr>
        <w:trPr>
          <w:cantSplit/>
          <w:trHeight w:val="397" w:hRule="atLeast"/>
        </w:trPr>
        <w:tc>
          <w:tcPr>
            <w:tcW w:type="dxa" w:w="3969"/>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Fixed portion</w:t>
            </w:r>
          </w:p>
        </w:tc>
        <w:tc>
          <w:tcPr>
            <w:tcW w:type="dxa" w:w="6123"/>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None</w:t>
            </w:r>
          </w:p>
        </w:tc>
      </w:tr>
    </w:tbl>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04  </w:t>
      </w:r>
      <w:r>
        <w:rPr>
          <w:rFonts w:ascii="Calibri" w:hAnsi="Calibri" w:cs="Calibri" w:eastAsia="Calibri"/>
          <w:b/>
          <w:i w:val="0"/>
          <w:caps w:val="1"/>
          <w:color w:val="0C2340"/>
          <w:spacing w:val="14"/>
          <w:sz w:val="25"/>
          <w:u w:val="none"/>
        </w:rPr>
        <w:t>Proposed position</w:t>
      </w:r>
    </w:p>
    <w:p>
      <w:pPr>
        <w:keepNext/>
        <w:keepLines/>
        <w:pageBreakBefore w:val="0"/>
        <w:widowControl w:val="1"/>
        <w:spacing w:before="100" w:after="0"/>
      </w:pPr>
      <w:r>
        <w:rPr>
          <w:rFonts w:ascii="Calibri" w:hAnsi="Calibri" w:cs="Calibri" w:eastAsia="Calibri"/>
          <w:b w:val="0"/>
          <w:i w:val="0"/>
          <w:color w:val="4C5B73"/>
          <w:sz w:val="15"/>
          <w:u w:val="none"/>
        </w:rPr>
        <w:t>What replaces it</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Proposed facility</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Proposed facility"/>
        <w:tblDescription w:val="Columns: Item, Proposed, Current, Change"/>
      </w:tblPr>
      <w:tblGrid>
        <w:gridCol w:w="3175"/>
        <w:gridCol w:w="2494"/>
        <w:gridCol w:w="2494"/>
        <w:gridCol w:w="1928"/>
      </w:tblGrid>
      <w:tr>
        <w:trPr>
          <w:cantSplit/>
          <w:trHeight w:val="420" w:hRule="atLeast"/>
          <w:tblHeader/>
        </w:trPr>
        <w:tc>
          <w:tcPr>
            <w:tcW w:type="dxa" w:w="3175"/>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249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Proposed</w:t>
            </w:r>
          </w:p>
        </w:tc>
        <w:tc>
          <w:tcPr>
            <w:tcW w:type="dxa" w:w="249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Current</w:t>
            </w:r>
          </w:p>
        </w:tc>
        <w:tc>
          <w:tcPr>
            <w:tcW w:type="dxa" w:w="192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Change</w:t>
            </w:r>
          </w:p>
        </w:tc>
      </w:tr>
      <w:tr>
        <w:trPr>
          <w:cantSplit/>
          <w:trHeight w:val="397" w:hRule="atLeast"/>
        </w:trPr>
        <w:tc>
          <w:tcPr>
            <w:tcW w:type="dxa" w:w="317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w:t>
            </w:r>
          </w:p>
        </w:tc>
        <w:tc>
          <w:tcPr>
            <w:tcW w:type="dxa" w:w="24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A</w:t>
            </w:r>
          </w:p>
        </w:tc>
        <w:tc>
          <w:tcPr>
            <w:tcW w:type="dxa" w:w="24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Current lender</w:t>
            </w:r>
          </w:p>
        </w:tc>
        <w:tc>
          <w:tcPr>
            <w:tcW w:type="dxa" w:w="192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r>
      <w:tr>
        <w:trPr>
          <w:cantSplit/>
          <w:trHeight w:val="397" w:hRule="atLeast"/>
        </w:trPr>
        <w:tc>
          <w:tcPr>
            <w:tcW w:type="dxa" w:w="3175"/>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10192A"/>
                <w:sz w:val="17"/>
                <w:u w:val="none"/>
              </w:rPr>
              <w:t>Rate</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6.14%</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6.84%</w:t>
            </w:r>
          </w:p>
        </w:tc>
        <w:tc>
          <w:tcPr>
            <w:tcW w:type="dxa" w:w="192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−0.70%</w:t>
            </w:r>
          </w:p>
        </w:tc>
      </w:tr>
      <w:tr>
        <w:trPr>
          <w:cantSplit/>
          <w:trHeight w:val="397" w:hRule="atLeast"/>
        </w:trPr>
        <w:tc>
          <w:tcPr>
            <w:tcW w:type="dxa" w:w="317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Comparison rate</w:t>
            </w:r>
          </w:p>
        </w:tc>
        <w:tc>
          <w:tcPr>
            <w:tcW w:type="dxa" w:w="24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6.41%</w:t>
            </w:r>
          </w:p>
        </w:tc>
        <w:tc>
          <w:tcPr>
            <w:tcW w:type="dxa" w:w="24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6.91%</w:t>
            </w:r>
          </w:p>
        </w:tc>
        <w:tc>
          <w:tcPr>
            <w:tcW w:type="dxa" w:w="192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−0.50%</w:t>
            </w:r>
          </w:p>
        </w:tc>
      </w:tr>
      <w:tr>
        <w:trPr>
          <w:cantSplit/>
          <w:trHeight w:val="397" w:hRule="atLeast"/>
        </w:trPr>
        <w:tc>
          <w:tcPr>
            <w:tcW w:type="dxa" w:w="3175"/>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Balance</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$589,400</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$589,400</w:t>
            </w:r>
          </w:p>
        </w:tc>
        <w:tc>
          <w:tcPr>
            <w:tcW w:type="dxa" w:w="192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r>
      <w:tr>
        <w:trPr>
          <w:cantSplit/>
          <w:trHeight w:val="397" w:hRule="atLeast"/>
        </w:trPr>
        <w:tc>
          <w:tcPr>
            <w:tcW w:type="dxa" w:w="317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Remaining term</w:t>
            </w:r>
          </w:p>
        </w:tc>
        <w:tc>
          <w:tcPr>
            <w:tcW w:type="dxa" w:w="24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26 years 4 months</w:t>
            </w:r>
          </w:p>
        </w:tc>
        <w:tc>
          <w:tcPr>
            <w:tcW w:type="dxa" w:w="24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26 years 4 months</w:t>
            </w:r>
          </w:p>
        </w:tc>
        <w:tc>
          <w:tcPr>
            <w:tcW w:type="dxa" w:w="192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Retained</w:t>
            </w:r>
          </w:p>
        </w:tc>
      </w:tr>
      <w:tr>
        <w:trPr>
          <w:cantSplit/>
          <w:trHeight w:val="397" w:hRule="atLeast"/>
        </w:trPr>
        <w:tc>
          <w:tcPr>
            <w:tcW w:type="dxa" w:w="3175"/>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10192A"/>
                <w:sz w:val="17"/>
                <w:u w:val="none"/>
              </w:rPr>
              <w:t>Monthly repayment</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$3,602</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$3,946</w:t>
            </w:r>
          </w:p>
        </w:tc>
        <w:tc>
          <w:tcPr>
            <w:tcW w:type="dxa" w:w="192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−$344</w:t>
            </w:r>
          </w:p>
        </w:tc>
      </w:tr>
      <w:tr>
        <w:trPr>
          <w:cantSplit/>
          <w:trHeight w:val="397" w:hRule="atLeast"/>
        </w:trPr>
        <w:tc>
          <w:tcPr>
            <w:tcW w:type="dxa" w:w="317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Annual fees</w:t>
            </w:r>
          </w:p>
        </w:tc>
        <w:tc>
          <w:tcPr>
            <w:tcW w:type="dxa" w:w="24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$395</w:t>
            </w:r>
          </w:p>
        </w:tc>
        <w:tc>
          <w:tcPr>
            <w:tcW w:type="dxa" w:w="24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$395</w:t>
            </w:r>
          </w:p>
        </w:tc>
        <w:tc>
          <w:tcPr>
            <w:tcW w:type="dxa" w:w="192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r>
      <w:tr>
        <w:trPr>
          <w:cantSplit/>
          <w:trHeight w:val="397" w:hRule="atLeast"/>
        </w:trPr>
        <w:tc>
          <w:tcPr>
            <w:tcW w:type="dxa" w:w="3175"/>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Offset account</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 100%</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 100%</w:t>
            </w:r>
          </w:p>
        </w:tc>
        <w:tc>
          <w:tcPr>
            <w:tcW w:type="dxa" w:w="192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Retained</w:t>
            </w:r>
          </w:p>
        </w:tc>
      </w:tr>
      <w:tr>
        <w:trPr>
          <w:cantSplit/>
          <w:trHeight w:val="397" w:hRule="atLeast"/>
        </w:trPr>
        <w:tc>
          <w:tcPr>
            <w:tcW w:type="dxa" w:w="3175"/>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keepLines/>
              <w:pageBreakBefore w:val="0"/>
              <w:widowControl w:val="1"/>
              <w:spacing w:before="0" w:after="0" w:line="293" w:lineRule="auto"/>
            </w:pPr>
            <w:r>
              <w:rPr>
                <w:rFonts w:ascii="Calibri" w:hAnsi="Calibri" w:cs="Calibri" w:eastAsia="Calibri"/>
                <w:b/>
                <w:i w:val="0"/>
                <w:color w:val="10192A"/>
                <w:sz w:val="17"/>
                <w:u w:val="none"/>
              </w:rPr>
              <w:t>Interest over remaining term</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$549,180</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$657,940</w:t>
            </w:r>
          </w:p>
        </w:tc>
        <w:tc>
          <w:tcPr>
            <w:tcW w:type="dxa" w:w="192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−$108,760</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Term is deliberately retained rather than reset to 30 years. Resetting would lower the repayment further but would add approximately $71,000 of interest over the life of the loan.</w:t>
      </w:r>
    </w:p>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05  </w:t>
      </w:r>
      <w:r>
        <w:rPr>
          <w:rFonts w:ascii="Calibri" w:hAnsi="Calibri" w:cs="Calibri" w:eastAsia="Calibri"/>
          <w:b/>
          <w:i w:val="0"/>
          <w:caps w:val="1"/>
          <w:color w:val="0C2340"/>
          <w:spacing w:val="14"/>
          <w:sz w:val="25"/>
          <w:u w:val="none"/>
        </w:rPr>
        <w:t>Switching costs</w:t>
      </w:r>
    </w:p>
    <w:p>
      <w:pPr>
        <w:keepNext/>
        <w:keepLines/>
        <w:pageBreakBefore w:val="0"/>
        <w:widowControl w:val="1"/>
        <w:spacing w:before="100" w:after="0"/>
      </w:pPr>
      <w:r>
        <w:rPr>
          <w:rFonts w:ascii="Calibri" w:hAnsi="Calibri" w:cs="Calibri" w:eastAsia="Calibri"/>
          <w:b w:val="0"/>
          <w:i w:val="0"/>
          <w:color w:val="4C5B73"/>
          <w:sz w:val="15"/>
          <w:u w:val="none"/>
        </w:rPr>
        <w:t>What it costs to move</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Switching costs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Switching costs"/>
        <w:tblDescription w:val="Columns: Cost, Amount, Payable to, Note"/>
      </w:tblPr>
      <w:tblGrid>
        <w:gridCol w:w="3515"/>
        <w:gridCol w:w="1474"/>
        <w:gridCol w:w="2608"/>
        <w:gridCol w:w="2494"/>
      </w:tblGrid>
      <w:tr>
        <w:trPr>
          <w:cantSplit/>
          <w:trHeight w:val="420" w:hRule="atLeast"/>
          <w:tblHeader/>
        </w:trPr>
        <w:tc>
          <w:tcPr>
            <w:tcW w:type="dxa" w:w="3515"/>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Cost</w:t>
            </w:r>
          </w:p>
        </w:tc>
        <w:tc>
          <w:tcPr>
            <w:tcW w:type="dxa" w:w="147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w:t>
            </w:r>
          </w:p>
        </w:tc>
        <w:tc>
          <w:tcPr>
            <w:tcW w:type="dxa" w:w="2608"/>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Payable to</w:t>
            </w:r>
          </w:p>
        </w:tc>
        <w:tc>
          <w:tcPr>
            <w:tcW w:type="dxa" w:w="2494"/>
            <w:tcBorders>
              <w:top w:val="nil"/>
              <w:left w:val="nil"/>
              <w:bottom w:val="single" w:sz="8" w:space="0" w:color="1D6FE0"/>
              <w:right w:val="nil"/>
            </w:tcBorders>
            <w:shd w:val="clear" w:color="auto" w:fill="0C2340"/>
            <w:tcMar>
              <w:top w:w="88" w:type="dxa"/>
              <w:left w:w="123" w:type="dxa"/>
              <w:bottom w:w="88" w:type="dxa"/>
              <w:right w:w="123"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Note</w:t>
            </w:r>
          </w:p>
        </w:tc>
      </w:tr>
      <w:tr>
        <w:trPr>
          <w:cantSplit/>
          <w:trHeight w:val="397" w:hRule="atLeast"/>
        </w:trPr>
        <w:tc>
          <w:tcPr>
            <w:tcW w:type="dxa" w:w="351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Discharge fee</w:t>
            </w:r>
          </w:p>
        </w:tc>
        <w:tc>
          <w:tcPr>
            <w:tcW w:type="dxa" w:w="147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$350</w:t>
            </w:r>
          </w:p>
        </w:tc>
        <w:tc>
          <w:tcPr>
            <w:tcW w:type="dxa" w:w="260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Current lender</w:t>
            </w:r>
          </w:p>
        </w:tc>
        <w:tc>
          <w:tcPr>
            <w:tcW w:type="dxa" w:w="24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Fixed</w:t>
            </w:r>
          </w:p>
        </w:tc>
      </w:tr>
      <w:tr>
        <w:trPr>
          <w:cantSplit/>
          <w:trHeight w:val="397" w:hRule="atLeast"/>
        </w:trPr>
        <w:tc>
          <w:tcPr>
            <w:tcW w:type="dxa" w:w="3515"/>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Mortgage discharge registration</w:t>
            </w:r>
          </w:p>
        </w:tc>
        <w:tc>
          <w:tcPr>
            <w:tcW w:type="dxa" w:w="147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$174</w:t>
            </w:r>
          </w:p>
        </w:tc>
        <w:tc>
          <w:tcPr>
            <w:tcW w:type="dxa" w:w="260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Land registry</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State fee</w:t>
            </w:r>
          </w:p>
        </w:tc>
      </w:tr>
      <w:tr>
        <w:trPr>
          <w:cantSplit/>
          <w:trHeight w:val="397" w:hRule="atLeast"/>
        </w:trPr>
        <w:tc>
          <w:tcPr>
            <w:tcW w:type="dxa" w:w="351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Mortgage registration</w:t>
            </w:r>
          </w:p>
        </w:tc>
        <w:tc>
          <w:tcPr>
            <w:tcW w:type="dxa" w:w="147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$174</w:t>
            </w:r>
          </w:p>
        </w:tc>
        <w:tc>
          <w:tcPr>
            <w:tcW w:type="dxa" w:w="260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Land registry</w:t>
            </w:r>
          </w:p>
        </w:tc>
        <w:tc>
          <w:tcPr>
            <w:tcW w:type="dxa" w:w="24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State fee</w:t>
            </w:r>
          </w:p>
        </w:tc>
      </w:tr>
      <w:tr>
        <w:trPr>
          <w:cantSplit/>
          <w:trHeight w:val="397" w:hRule="atLeast"/>
        </w:trPr>
        <w:tc>
          <w:tcPr>
            <w:tcW w:type="dxa" w:w="3515"/>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Settlement fee</w:t>
            </w:r>
          </w:p>
        </w:tc>
        <w:tc>
          <w:tcPr>
            <w:tcW w:type="dxa" w:w="147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$350</w:t>
            </w:r>
          </w:p>
        </w:tc>
        <w:tc>
          <w:tcPr>
            <w:tcW w:type="dxa" w:w="260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New lender</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Fixed</w:t>
            </w:r>
          </w:p>
        </w:tc>
      </w:tr>
      <w:tr>
        <w:trPr>
          <w:cantSplit/>
          <w:trHeight w:val="397" w:hRule="atLeast"/>
        </w:trPr>
        <w:tc>
          <w:tcPr>
            <w:tcW w:type="dxa" w:w="351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Valuation fee</w:t>
            </w:r>
          </w:p>
        </w:tc>
        <w:tc>
          <w:tcPr>
            <w:tcW w:type="dxa" w:w="147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$0</w:t>
            </w:r>
          </w:p>
        </w:tc>
        <w:tc>
          <w:tcPr>
            <w:tcW w:type="dxa" w:w="260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New lender</w:t>
            </w:r>
          </w:p>
        </w:tc>
        <w:tc>
          <w:tcPr>
            <w:tcW w:type="dxa" w:w="24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Waived under the package</w:t>
            </w:r>
          </w:p>
        </w:tc>
      </w:tr>
      <w:tr>
        <w:trPr>
          <w:cantSplit/>
          <w:trHeight w:val="397" w:hRule="atLeast"/>
        </w:trPr>
        <w:tc>
          <w:tcPr>
            <w:tcW w:type="dxa" w:w="3515"/>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Application fee</w:t>
            </w:r>
          </w:p>
        </w:tc>
        <w:tc>
          <w:tcPr>
            <w:tcW w:type="dxa" w:w="147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$0</w:t>
            </w:r>
          </w:p>
        </w:tc>
        <w:tc>
          <w:tcPr>
            <w:tcW w:type="dxa" w:w="260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New lender</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Waived under the package</w:t>
            </w:r>
          </w:p>
        </w:tc>
      </w:tr>
      <w:tr>
        <w:trPr>
          <w:cantSplit/>
          <w:trHeight w:val="397" w:hRule="atLeast"/>
        </w:trPr>
        <w:tc>
          <w:tcPr>
            <w:tcW w:type="dxa" w:w="3515"/>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Break cost</w:t>
            </w:r>
          </w:p>
        </w:tc>
        <w:tc>
          <w:tcPr>
            <w:tcW w:type="dxa" w:w="147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$0</w:t>
            </w:r>
          </w:p>
        </w:tc>
        <w:tc>
          <w:tcPr>
            <w:tcW w:type="dxa" w:w="2608"/>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Current lender</w:t>
            </w:r>
          </w:p>
        </w:tc>
        <w:tc>
          <w:tcPr>
            <w:tcW w:type="dxa" w:w="2494"/>
            <w:tcBorders>
              <w:top w:val="nil"/>
              <w:left w:val="single" w:sz="4" w:space="0" w:color="DCE3ED"/>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fixed portion</w:t>
            </w:r>
          </w:p>
        </w:tc>
      </w:tr>
      <w:tr>
        <w:trPr>
          <w:cantSplit/>
          <w:trHeight w:val="397" w:hRule="atLeast"/>
        </w:trPr>
        <w:tc>
          <w:tcPr>
            <w:tcW w:type="dxa" w:w="3515"/>
            <w:tcBorders>
              <w:top w:val="nil"/>
              <w:left w:val="nil"/>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Legal / settlement agent</w:t>
            </w:r>
          </w:p>
        </w:tc>
        <w:tc>
          <w:tcPr>
            <w:tcW w:type="dxa" w:w="147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val="0"/>
                <w:i w:val="0"/>
                <w:color w:val="10192A"/>
                <w:sz w:val="17"/>
                <w:u w:val="none"/>
              </w:rPr>
              <w:t>$1,292</w:t>
            </w:r>
          </w:p>
        </w:tc>
        <w:tc>
          <w:tcPr>
            <w:tcW w:type="dxa" w:w="2608"/>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Settlement agent</w:t>
            </w:r>
          </w:p>
        </w:tc>
        <w:tc>
          <w:tcPr>
            <w:tcW w:type="dxa" w:w="2494"/>
            <w:tcBorders>
              <w:top w:val="nil"/>
              <w:left w:val="single" w:sz="4" w:space="0" w:color="DCE3ED"/>
              <w:bottom w:val="single" w:sz="4" w:space="0" w:color="DCE3ED"/>
              <w:right w:val="nil"/>
            </w:tcBorders>
            <w:shd w:val="clear" w:color="auto" w:fill="F7F9FC"/>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Estimate</w:t>
            </w:r>
          </w:p>
        </w:tc>
      </w:tr>
      <w:tr>
        <w:trPr>
          <w:cantSplit/>
          <w:trHeight w:val="397" w:hRule="atLeast"/>
        </w:trPr>
        <w:tc>
          <w:tcPr>
            <w:tcW w:type="dxa" w:w="3515"/>
            <w:tcBorders>
              <w:top w:val="nil"/>
              <w:left w:val="nil"/>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r>
              <w:rPr>
                <w:rFonts w:ascii="Calibri" w:hAnsi="Calibri" w:cs="Calibri" w:eastAsia="Calibri"/>
                <w:b/>
                <w:i w:val="0"/>
                <w:color w:val="0C2340"/>
                <w:sz w:val="17"/>
                <w:u w:val="none"/>
              </w:rPr>
              <w:t>Total switching cost</w:t>
            </w:r>
          </w:p>
        </w:tc>
        <w:tc>
          <w:tcPr>
            <w:tcW w:type="dxa" w:w="1474"/>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jc w:val="right"/>
            </w:pPr>
            <w:r>
              <w:rPr>
                <w:rFonts w:ascii="Consolas" w:hAnsi="Consolas" w:cs="Consolas" w:eastAsia="Consolas"/>
                <w:b/>
                <w:i w:val="0"/>
                <w:color w:val="0C2340"/>
                <w:sz w:val="17"/>
                <w:u w:val="none"/>
              </w:rPr>
              <w:t>$2,340</w:t>
            </w:r>
          </w:p>
        </w:tc>
        <w:tc>
          <w:tcPr>
            <w:tcW w:type="dxa" w:w="2608"/>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p>
        </w:tc>
        <w:tc>
          <w:tcPr>
            <w:tcW w:type="dxa" w:w="2494"/>
            <w:tcBorders>
              <w:top w:val="nil"/>
              <w:left w:val="single" w:sz="4" w:space="0" w:color="DCE3ED"/>
              <w:bottom w:val="single" w:sz="8" w:space="0" w:color="1D6FE0"/>
              <w:right w:val="nil"/>
            </w:tcBorders>
            <w:shd w:val="clear" w:color="auto" w:fill="DCE8FB"/>
            <w:tcMar>
              <w:top w:w="88" w:type="dxa"/>
              <w:left w:w="123" w:type="dxa"/>
              <w:bottom w:w="88" w:type="dxa"/>
              <w:right w:w="123"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06  </w:t>
      </w:r>
      <w:r>
        <w:rPr>
          <w:rFonts w:ascii="Calibri" w:hAnsi="Calibri" w:cs="Calibri" w:eastAsia="Calibri"/>
          <w:b/>
          <w:i w:val="0"/>
          <w:caps w:val="1"/>
          <w:color w:val="0C2340"/>
          <w:spacing w:val="14"/>
          <w:sz w:val="25"/>
          <w:u w:val="none"/>
        </w:rPr>
        <w:t>Break-even</w:t>
      </w:r>
    </w:p>
    <w:p>
      <w:pPr>
        <w:keepNext/>
        <w:keepLines/>
        <w:pageBreakBefore w:val="0"/>
        <w:widowControl w:val="1"/>
        <w:spacing w:before="100" w:after="0"/>
      </w:pPr>
      <w:r>
        <w:rPr>
          <w:rFonts w:ascii="Calibri" w:hAnsi="Calibri" w:cs="Calibri" w:eastAsia="Calibri"/>
          <w:b w:val="0"/>
          <w:i w:val="0"/>
          <w:color w:val="4C5B73"/>
          <w:sz w:val="15"/>
          <w:u w:val="none"/>
        </w:rPr>
        <w:t>When the switch pays for itself</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Cumulative saving against switching cost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26"/>
        <w:gridCol w:w="5651"/>
        <w:gridCol w:w="1615"/>
      </w:tblGrid>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Month 3</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706"/>
              <w:gridCol w:w="4945"/>
            </w:tblGrid>
            <w:tr>
              <w:trPr>
                <w:cantSplit/>
              </w:trPr>
              <w:tc>
                <w:tcPr>
                  <w:tcW w:type="dxa" w:w="706"/>
                  <w:shd w:val="clear" w:color="auto" w:fill="0C234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4945"/>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jc w:val="right"/>
            </w:pPr>
            <w:r>
              <w:rPr>
                <w:rFonts w:ascii="Consolas" w:hAnsi="Consolas" w:cs="Consolas" w:eastAsia="Consolas"/>
                <w:b/>
                <w:i w:val="0"/>
                <w:color w:val="0C2340"/>
                <w:sz w:val="17"/>
                <w:u w:val="none"/>
              </w:rPr>
              <w:t>$1,032</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Month 6</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413"/>
              <w:gridCol w:w="4238"/>
            </w:tblGrid>
            <w:tr>
              <w:trPr>
                <w:cantSplit/>
              </w:trPr>
              <w:tc>
                <w:tcPr>
                  <w:tcW w:type="dxa" w:w="1413"/>
                  <w:shd w:val="clear" w:color="auto" w:fill="1D6FE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4238"/>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jc w:val="right"/>
            </w:pPr>
            <w:r>
              <w:rPr>
                <w:rFonts w:ascii="Consolas" w:hAnsi="Consolas" w:cs="Consolas" w:eastAsia="Consolas"/>
                <w:b/>
                <w:i w:val="0"/>
                <w:color w:val="0C2340"/>
                <w:sz w:val="17"/>
                <w:u w:val="none"/>
              </w:rPr>
              <w:t>$2,064</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Month 7</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648"/>
              <w:gridCol w:w="4003"/>
            </w:tblGrid>
            <w:tr>
              <w:trPr>
                <w:cantSplit/>
              </w:trPr>
              <w:tc>
                <w:tcPr>
                  <w:tcW w:type="dxa" w:w="1648"/>
                  <w:shd w:val="clear" w:color="auto" w:fill="12B0CE"/>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4003"/>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jc w:val="right"/>
            </w:pPr>
            <w:r>
              <w:rPr>
                <w:rFonts w:ascii="Consolas" w:hAnsi="Consolas" w:cs="Consolas" w:eastAsia="Consolas"/>
                <w:b/>
                <w:i w:val="0"/>
                <w:color w:val="0C2340"/>
                <w:sz w:val="17"/>
                <w:u w:val="none"/>
              </w:rPr>
              <w:t>$2,408 — break-even</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Month 12</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2826"/>
              <w:gridCol w:w="2826"/>
            </w:tblGrid>
            <w:tr>
              <w:trPr>
                <w:cantSplit/>
              </w:trPr>
              <w:tc>
                <w:tcPr>
                  <w:tcW w:type="dxa" w:w="2826"/>
                  <w:shd w:val="clear" w:color="auto" w:fill="5B96EB"/>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2826"/>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jc w:val="right"/>
            </w:pPr>
            <w:r>
              <w:rPr>
                <w:rFonts w:ascii="Consolas" w:hAnsi="Consolas" w:cs="Consolas" w:eastAsia="Consolas"/>
                <w:b/>
                <w:i w:val="0"/>
                <w:color w:val="0C2340"/>
                <w:sz w:val="17"/>
                <w:u w:val="none"/>
              </w:rPr>
              <w:t>$4,128</w:t>
            </w:r>
          </w:p>
        </w:tc>
      </w:tr>
      <w:tr>
        <w:trPr>
          <w:cantSplit/>
          <w:trHeight w:val="420" w:hRule="atLeast"/>
        </w:trPr>
        <w:tc>
          <w:tcPr>
            <w:tcW w:type="dxa" w:w="2826"/>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Month 24</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34"/>
            </w:tblGrid>
            <w:tr>
              <w:trPr>
                <w:cantSplit/>
              </w:trPr>
              <w:tc>
                <w:tcPr>
                  <w:tcW w:type="dxa" w:w="5651"/>
                  <w:shd w:val="clear" w:color="auto" w:fill="0E8AA3"/>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34"/>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88" w:type="dxa"/>
              <w:left w:w="123" w:type="dxa"/>
              <w:bottom w:w="88" w:type="dxa"/>
              <w:right w:w="123" w:type="dxa"/>
            </w:tcMar>
            <w:vAlign w:val="center"/>
          </w:tcPr>
          <w:p>
            <w:pPr>
              <w:keepNext/>
              <w:keepLines/>
              <w:pageBreakBefore w:val="0"/>
              <w:widowControl w:val="1"/>
              <w:spacing w:before="0" w:after="0"/>
              <w:jc w:val="right"/>
            </w:pPr>
            <w:r>
              <w:rPr>
                <w:rFonts w:ascii="Consolas" w:hAnsi="Consolas" w:cs="Consolas" w:eastAsia="Consolas"/>
                <w:b/>
                <w:i w:val="0"/>
                <w:color w:val="0C2340"/>
                <w:sz w:val="17"/>
                <w:u w:val="none"/>
              </w:rPr>
              <w:t>$8,256</w:t>
            </w:r>
          </w:p>
        </w:tc>
      </w:tr>
    </w:tbl>
    <w:p>
      <w:pPr>
        <w:keepNext w:val="0"/>
        <w:keepLines/>
        <w:pageBreakBefore w:val="0"/>
        <w:widowControl w:val="1"/>
        <w:spacing w:before="80" w:after="0"/>
      </w:pPr>
      <w:r>
        <w:rPr>
          <w:rFonts w:ascii="Calibri" w:hAnsi="Calibri" w:cs="Calibri" w:eastAsia="Calibri"/>
          <w:b w:val="0"/>
          <w:i/>
          <w:color w:val="8493A8"/>
          <w:sz w:val="14"/>
          <w:u w:val="none"/>
        </w:rPr>
        <w:t>Break-even is the month in which cumulative saving first exceeds the $2,340 switching cost. Savings after that point are net.</w:t>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07  </w:t>
      </w:r>
      <w:r>
        <w:rPr>
          <w:rFonts w:ascii="Calibri" w:hAnsi="Calibri" w:cs="Calibri" w:eastAsia="Calibri"/>
          <w:b/>
          <w:i w:val="0"/>
          <w:caps w:val="1"/>
          <w:color w:val="0C2340"/>
          <w:spacing w:val="14"/>
          <w:sz w:val="25"/>
          <w:u w:val="none"/>
        </w:rPr>
        <w:t>Considerations</w:t>
      </w:r>
    </w:p>
    <w:p>
      <w:pPr>
        <w:keepNext/>
        <w:keepLines/>
        <w:pageBreakBefore w:val="0"/>
        <w:widowControl w:val="1"/>
        <w:spacing w:before="100" w:after="0"/>
      </w:pPr>
      <w:r>
        <w:rPr>
          <w:rFonts w:ascii="Calibri" w:hAnsi="Calibri" w:cs="Calibri" w:eastAsia="Calibri"/>
          <w:b w:val="0"/>
          <w:i w:val="0"/>
          <w:color w:val="4C5B73"/>
          <w:sz w:val="15"/>
          <w:u w:val="none"/>
        </w:rPr>
        <w:t>What you give up</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24"/>
          <w:sz w:val="15"/>
          <w:u w:val="none"/>
        </w:rPr>
        <w:t>Considerations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onsiderations"/>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0C2340"/>
            <w:tcMar>
              <w:top w:w="88" w:type="dxa"/>
              <w:left w:w="123" w:type="dxa"/>
              <w:bottom w:w="88" w:type="dxa"/>
              <w:right w:w="123"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Redraw history and available redraw are not transferred</w:t>
            </w:r>
          </w:p>
        </w:tc>
        <w:tc>
          <w:tcPr>
            <w:tcW w:type="dxa" w:w="1413"/>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$18,400 of available redraw on the current loan will be lost. If you may need it, draw it into the offset before discharge.</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 new credit enquiry is recorded</w:t>
            </w:r>
          </w:p>
        </w:tc>
        <w:tc>
          <w:tcPr>
            <w:tcW w:type="dxa" w:w="1413"/>
            <w:tcBorders>
              <w:top w:val="nil"/>
              <w:left w:val="nil"/>
              <w:bottom w:val="single" w:sz="4" w:space="0" w:color="DCE3ED"/>
              <w:right w:val="nil"/>
            </w:tcBorders>
            <w:shd w:val="clear" w:color="auto" w:fill="E6F6E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0F8A5F"/>
                <w:sz w:val="17"/>
                <w:u w:val="none"/>
              </w:rPr>
              <w:t>▲  LOW</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One enquiry has a minimal effect on your file. Avoid applying for other credit in the same period.</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The new rate is not guaranteed until settlement</w:t>
            </w:r>
          </w:p>
        </w:tc>
        <w:tc>
          <w:tcPr>
            <w:tcW w:type="dxa" w:w="1413"/>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The rate may move before settlement. A rate lock is available for $750; on a $344 monthly saving it is worth taking only if settlement is more than eight weeks away.</w:t>
            </w:r>
          </w:p>
        </w:tc>
      </w:tr>
      <w:tr>
        <w:trPr>
          <w:cantSplit/>
        </w:trPr>
        <w:tc>
          <w:tcPr>
            <w:tcW w:type="dxa" w:w="4037"/>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Introductory pricing may revert</w:t>
            </w:r>
          </w:p>
        </w:tc>
        <w:tc>
          <w:tcPr>
            <w:tcW w:type="dxa" w:w="1413"/>
            <w:tcBorders>
              <w:top w:val="nil"/>
              <w:left w:val="nil"/>
              <w:bottom w:val="single" w:sz="4" w:space="0" w:color="DCE3ED"/>
              <w:right w:val="nil"/>
            </w:tcBorders>
            <w:shd w:val="clear" w:color="auto" w:fill="FBF1E0"/>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88" w:type="dxa"/>
              <w:left w:w="123" w:type="dxa"/>
              <w:bottom w:w="88" w:type="dxa"/>
              <w:right w:w="123"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Confirm whether the 6.14% is an ongoing rate or a discount with an expiry. We have confirmed it is ongoing for the life of the package.</w:t>
            </w:r>
          </w:p>
        </w:tc>
      </w:tr>
    </w:tbl>
    <w:p>
      <w:pPr>
        <w:keepNext w:val="0"/>
        <w:keepLines/>
        <w:pageBreakBefore w:val="0"/>
        <w:widowControl w:val="1"/>
        <w:spacing w:before="0" w:after="0" w:line="160" w:lineRule="exact"/>
      </w:pPr>
      <w:r>
        <w:rPr>
          <w:sz w:val="2"/>
        </w:rPr>
      </w:r>
    </w:p>
    <w:p>
      <w:pPr>
        <w:keepNext/>
        <w:keepLines/>
        <w:pageBreakBefore w:val="0"/>
        <w:widowControl w:val="1"/>
        <w:pBdr>
          <w:bottom w:val="single" w:sz="10" w:space="4" w:color="1D6FE0"/>
        </w:pBdr>
        <w:spacing w:before="0" w:after="0"/>
      </w:pPr>
      <w:r>
        <w:rPr>
          <w:rFonts w:ascii="Calibri" w:hAnsi="Calibri" w:cs="Calibri" w:eastAsia="Calibri"/>
          <w:b/>
          <w:i w:val="0"/>
          <w:color w:val="1D6FE0"/>
          <w:sz w:val="25"/>
          <w:u w:val="none"/>
        </w:rPr>
        <w:t xml:space="preserve">08  </w:t>
      </w:r>
      <w:r>
        <w:rPr>
          <w:rFonts w:ascii="Calibri" w:hAnsi="Calibri" w:cs="Calibri" w:eastAsia="Calibri"/>
          <w:b/>
          <w:i w:val="0"/>
          <w:caps w:val="1"/>
          <w:color w:val="0C2340"/>
          <w:spacing w:val="14"/>
          <w:sz w:val="25"/>
          <w:u w:val="none"/>
        </w:rPr>
        <w:t>Next steps</w:t>
      </w:r>
    </w:p>
    <w:p>
      <w:pPr>
        <w:keepNext/>
        <w:keepLines/>
        <w:pageBreakBefore w:val="0"/>
        <w:widowControl w:val="1"/>
        <w:spacing w:before="100" w:after="0"/>
      </w:pPr>
      <w:r>
        <w:rPr>
          <w:rFonts w:ascii="Calibri" w:hAnsi="Calibri" w:cs="Calibri" w:eastAsia="Calibri"/>
          <w:b w:val="0"/>
          <w:i w:val="0"/>
          <w:color w:val="4C5B73"/>
          <w:sz w:val="15"/>
          <w:u w:val="none"/>
        </w:rPr>
        <w:t>What we need from you</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4"/>
          <w:sz w:val="15"/>
          <w:u w:val="none"/>
        </w:rPr>
        <w:t>Before we lodge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nil"/>
              <w:bottom w:val="single" w:sz="4" w:space="0" w:color="DCE3ED"/>
              <w:right w:val="nil"/>
            </w:tcBorders>
            <w:tcMar>
              <w:top w:w="88" w:type="dxa"/>
              <w:left w:w="123" w:type="dxa"/>
              <w:bottom w:w="88" w:type="dxa"/>
              <w:right w:w="123"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Confirm you accept the loss of the $18,400 redraw balance.</w:t>
            </w:r>
          </w:p>
        </w:tc>
      </w:tr>
      <w:tr>
        <w:trPr>
          <w:cantSplit/>
        </w:trPr>
        <w:tc>
          <w:tcPr>
            <w:tcW w:type="dxa" w:w="10091"/>
            <w:tcBorders>
              <w:top w:val="nil"/>
              <w:left w:val="nil"/>
              <w:bottom w:val="single" w:sz="4" w:space="0" w:color="DCE3ED"/>
              <w:right w:val="nil"/>
            </w:tcBorders>
            <w:tcMar>
              <w:top w:w="88" w:type="dxa"/>
              <w:left w:w="123" w:type="dxa"/>
              <w:bottom w:w="88" w:type="dxa"/>
              <w:right w:w="123"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Provide two recent payslips for each applicant.</w:t>
            </w:r>
          </w:p>
        </w:tc>
      </w:tr>
      <w:tr>
        <w:trPr>
          <w:cantSplit/>
        </w:trPr>
        <w:tc>
          <w:tcPr>
            <w:tcW w:type="dxa" w:w="10091"/>
            <w:tcBorders>
              <w:top w:val="nil"/>
              <w:left w:val="nil"/>
              <w:bottom w:val="single" w:sz="4" w:space="0" w:color="DCE3ED"/>
              <w:right w:val="nil"/>
            </w:tcBorders>
            <w:tcMar>
              <w:top w:w="88" w:type="dxa"/>
              <w:left w:w="123" w:type="dxa"/>
              <w:bottom w:w="88" w:type="dxa"/>
              <w:right w:w="123"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Provide the last twelve months of statements for the current loan.</w:t>
            </w:r>
          </w:p>
        </w:tc>
      </w:tr>
      <w:tr>
        <w:trPr>
          <w:cantSplit/>
        </w:trPr>
        <w:tc>
          <w:tcPr>
            <w:tcW w:type="dxa" w:w="10091"/>
            <w:tcBorders>
              <w:top w:val="nil"/>
              <w:left w:val="nil"/>
              <w:bottom w:val="single" w:sz="4" w:space="0" w:color="DCE3ED"/>
              <w:right w:val="nil"/>
            </w:tcBorders>
            <w:tcMar>
              <w:top w:w="88" w:type="dxa"/>
              <w:left w:w="123" w:type="dxa"/>
              <w:bottom w:w="88" w:type="dxa"/>
              <w:right w:w="123"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Confirm whether you want the $750 rate lock.</w:t>
            </w:r>
          </w:p>
        </w:tc>
      </w:tr>
      <w:tr>
        <w:trPr>
          <w:cantSplit/>
        </w:trPr>
        <w:tc>
          <w:tcPr>
            <w:tcW w:type="dxa" w:w="10091"/>
            <w:tcBorders>
              <w:top w:val="nil"/>
              <w:left w:val="nil"/>
              <w:bottom w:val="single" w:sz="4" w:space="0" w:color="DCE3ED"/>
              <w:right w:val="nil"/>
            </w:tcBorders>
            <w:tcMar>
              <w:top w:w="88" w:type="dxa"/>
              <w:left w:w="123" w:type="dxa"/>
              <w:bottom w:w="88" w:type="dxa"/>
              <w:right w:w="123"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Nominate a settlement agent, or ask us to appoint one.</w:t>
            </w:r>
          </w:p>
        </w:tc>
      </w:tr>
    </w:tbl>
    <w:p>
      <w:pPr>
        <w:keepNext/>
        <w:keepLines/>
        <w:pageBreakBefore w:val="1"/>
        <w:widowControl w:val="1"/>
        <w:pBdr>
          <w:bottom w:val="single" w:sz="10" w:space="4" w:color="1D6FE0"/>
        </w:pBdr>
        <w:spacing w:before="0" w:after="0"/>
      </w:pPr>
      <w:r>
        <w:rPr>
          <w:rFonts w:ascii="Calibri" w:hAnsi="Calibri" w:cs="Calibri" w:eastAsia="Calibri"/>
          <w:b/>
          <w:i w:val="0"/>
          <w:caps w:val="1"/>
          <w:color w:val="0C2340"/>
          <w:spacing w:val="14"/>
          <w:sz w:val="25"/>
          <w:u w:val="none"/>
        </w:rPr>
        <w:t>Important information</w:t>
      </w:r>
    </w:p>
    <w:p>
      <w:pPr>
        <w:keepNext/>
        <w:keepLines/>
        <w:pageBreakBefore w:val="0"/>
        <w:widowControl w:val="1"/>
        <w:spacing w:before="100" w:after="0"/>
      </w:pPr>
      <w:r>
        <w:rPr>
          <w:rFonts w:ascii="Calibri" w:hAnsi="Calibri" w:cs="Calibri" w:eastAsia="Calibri"/>
          <w:b w:val="0"/>
          <w:i w:val="0"/>
          <w:color w:val="4C5B73"/>
          <w:sz w:val="15"/>
          <w:u w:val="none"/>
        </w:rPr>
        <w:t>Disclaimer, privacy and terms</w:t>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07"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07"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07"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24"/>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24"/>
              <w:sz w:val="14"/>
              <w:u w:val="none"/>
            </w:rPr>
            <w:t>Aurixa Systems</w:t>
          </w:r>
        </w:p>
      </w:tc>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24"/>
              <w:sz w:val="14"/>
              <w:u w:val="none"/>
            </w:rPr>
            <w:t>Refinance Assessment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07"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Refinance Assessment</dc:title>
  <dc:subject>Whether refinancing is worthwhile: current position, proposed position, switching costs, break-even point and net benefit over the hold period.</dc:subject>
  <dc:creator>Aurixa Systems</dc:creator>
  <cp:keywords>Refinance, Loan review, Switching analysis, Finance &amp; Lending,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