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C2CDDC"/>
              <w:left w:val="single" w:sz="6" w:space="0" w:color="C2CDDC"/>
              <w:bottom w:val="single" w:sz="6" w:space="0" w:color="C2CDDC"/>
              <w:right w:val="single" w:sz="6" w:space="0" w:color="C2CDDC"/>
            </w:tcBorders>
            <w:shd w:val="clear" w:color="auto" w:fill="EDF1F7"/>
            <w:tcMar>
              <w:top w:w="1150" w:type="dxa"/>
              <w:left w:w="200" w:type="dxa"/>
              <w:bottom w:w="1150" w:type="dxa"/>
              <w:right w:w="20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32"/>
                <w:sz w:val="15"/>
                <w:u w:val="none"/>
              </w:rPr>
              <w:t>[  COVER IMAGE  —  1600 × 900 px minimum  ]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{{suburb.coverCaption}}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6690" w:hRule="atLeast"/>
        </w:trPr>
        <w:tc>
          <w:tcPr>
            <w:tcW w:type="dxa" w:w="10091"/>
            <w:tcBorders>
              <w:top w:val="single" w:sz="10" w:space="0" w:color="12B0CE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2B0CE"/>
                    <w:left w:val="dashed" w:sz="8" w:space="0" w:color="12B0CE"/>
                    <w:bottom w:val="dashed" w:sz="8" w:space="0" w:color="12B0CE"/>
                    <w:right w:val="dashed" w:sz="8" w:space="0" w:color="12B0CE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2B0CE"/>
                      <w:spacing w:val="36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60"/>
                <w:sz w:val="16"/>
                <w:u w:val="none"/>
              </w:rPr>
              <w:t>Location research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pacing w:val="-4"/>
                <w:sz w:val="60"/>
                <w:u w:val="none"/>
              </w:rPr>
              <w:t>{{suburb.name}}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{{report.subtitle}}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09"/>
              <w:gridCol w:w="4309"/>
            </w:tblGrid>
            <w:tr>
              <w:trPr>
                <w:cantSplit/>
              </w:trPr>
              <w:tc>
                <w:tcPr>
                  <w:tcW w:type="dxa" w:w="4309"/>
                  <w:tcBorders>
                    <w:top w:val="single" w:sz="4" w:space="0" w:color="12B0CE"/>
                    <w:left w:val="single" w:sz="4" w:space="0" w:color="12B0CE"/>
                    <w:bottom w:val="single" w:sz="4" w:space="0" w:color="12B0CE"/>
                    <w:right w:val="single" w:sz="4" w:space="0" w:color="12B0CE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2B0CE"/>
                      <w:spacing w:val="28"/>
                      <w:sz w:val="14"/>
                      <w:u w:val="none"/>
                    </w:rPr>
                    <w:t>10-YEAR DATA</w:t>
                  </w:r>
                </w:p>
              </w:tc>
              <w:tc>
                <w:tcPr>
                  <w:tcW w:type="dxa" w:w="4309"/>
                  <w:tcBorders>
                    <w:top w:val="single" w:sz="4" w:space="0" w:color="12B0CE"/>
                    <w:left w:val="single" w:sz="4" w:space="0" w:color="12B0CE"/>
                    <w:bottom w:val="single" w:sz="4" w:space="0" w:color="12B0CE"/>
                    <w:right w:val="single" w:sz="4" w:space="0" w:color="12B0CE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2B0CE"/>
                      <w:spacing w:val="28"/>
                      <w:sz w:val="14"/>
                      <w:u w:val="none"/>
                    </w:rPr>
                    <w:t>AS AT 30/06/26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2494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 w:val="0"/>
        <w:keepLines/>
        <w:pageBreakBefore w:val="1"/>
        <w:widowControl w:val="1"/>
        <w:spacing w:before="0" w:after="0" w:line="20" w:lineRule="exact"/>
        <w:rPr>
          <w:sz w:val="2"/>
        </w:rPr>
      </w:pP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01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Snapshot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Where the market sits today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4"/>
                <w:u w:val="none"/>
              </w:rPr>
              <w:t>MEDIAN — HOUSE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4"/>
                <w:u w:val="none"/>
              </w:rPr>
              <w:t>12-MONTH GROWTH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4"/>
                <w:u w:val="none"/>
              </w:rPr>
              <w:t>GROSS YIELD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4"/>
                <w:u w:val="none"/>
              </w:rPr>
              <w:t>VACANCY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2B0CE"/>
              <w:right w:val="single" w:sz="24" w:space="0" w:color="FFFFFF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{{suburb.medianHouse}}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12 months to Jun 26</w:t>
            </w:r>
          </w:p>
        </w:tc>
        <w:tc>
          <w:tcPr>
            <w:tcW w:type="dxa" w:w="2523"/>
            <w:tcBorders>
              <w:bottom w:val="single" w:sz="8" w:space="0" w:color="12B0CE"/>
              <w:right w:val="single" w:sz="24" w:space="0" w:color="FFFFFF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{{suburb.growth12}}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Houses</w:t>
            </w:r>
          </w:p>
        </w:tc>
        <w:tc>
          <w:tcPr>
            <w:tcW w:type="dxa" w:w="2523"/>
            <w:tcBorders>
              <w:bottom w:val="single" w:sz="8" w:space="0" w:color="12B0CE"/>
              <w:right w:val="single" w:sz="24" w:space="0" w:color="FFFFFF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{{suburb.yield}}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Houses</w:t>
            </w:r>
          </w:p>
        </w:tc>
        <w:tc>
          <w:tcPr>
            <w:tcW w:type="dxa" w:w="2523"/>
            <w:tcBorders>
              <w:bottom w:val="single" w:sz="8" w:space="0" w:color="12B0CE"/>
              <w:right w:val="nil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{{suburb.vacancy}}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Below the 2.5% balance point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02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Executive summary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The location thesis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2B0CE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71" w:type="dxa"/>
              <w:left w:w="199" w:type="dxa"/>
              <w:bottom w:w="171" w:type="dxa"/>
              <w:right w:w="19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5"/>
                <w:u w:val="none"/>
              </w:rPr>
              <w:t>Executive summary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3"/>
                <w:u w:val="none"/>
              </w:rPr>
              <w:t>{{report.headline}}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{{report.summary}}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8"/>
                <w:sz w:val="15"/>
                <w:u w:val="none"/>
              </w:rPr>
              <w:t>What this means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{{report.takeaways[2]}}</w:t>
            </w:r>
          </w:p>
        </w:tc>
      </w:tr>
    </w:tbl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03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Market performance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Ten years of price and rent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3175" w:hRule="atLeast"/>
        </w:trPr>
        <w:tc>
          <w:tcPr>
            <w:tcW w:type="dxa" w:w="1009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F7F9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8"/>
                <w:u w:val="none"/>
              </w:rPr>
              <w:t>Median price and median rent, 10 years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36"/>
                <w:sz w:val="15"/>
                <w:u w:val="none"/>
              </w:rPr>
              <w:t>[  DUAL-AXIS LINE CHART  ]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{{suburb.priceHistory}}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Houses only; medians are 12-month rolling   ·   Source: {{suburb.source}}   ·   Alt text: Median price rose from $1.02m to $1.84m over ten years while median rent rose from $760 to $1,020 per week</w:t>
      </w:r>
    </w:p>
    <w:p>
      <w:pPr>
        <w:keepNext w:val="0"/>
        <w:keepLines/>
        <w:pageBreakBefore w:val="0"/>
        <w:widowControl w:val="1"/>
        <w:spacing w:before="0" w:after="0" w:line="126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8"/>
          <w:sz w:val="15"/>
          <w:u w:val="none"/>
        </w:rPr>
        <w:t>Five-year detail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Five-year detail"/>
        <w:tblDescription w:val="Columns: Period, Median price, Change, Median rent, Yield, Sales"/>
      </w:tblPr>
      <w:tblGrid>
        <w:gridCol w:w="1802"/>
        <w:gridCol w:w="2162"/>
        <w:gridCol w:w="1562"/>
        <w:gridCol w:w="1802"/>
        <w:gridCol w:w="1442"/>
        <w:gridCol w:w="1321"/>
      </w:tblGrid>
      <w:tr>
        <w:trPr>
          <w:cantSplit/>
          <w:trHeight w:val="420" w:hRule="atLeast"/>
          <w:tblHeader/>
        </w:trPr>
        <w:tc>
          <w:tcPr>
            <w:tcW w:type="dxa" w:w="1802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Period</w:t>
            </w:r>
          </w:p>
        </w:tc>
        <w:tc>
          <w:tcPr>
            <w:tcW w:type="dxa" w:w="2162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Median price</w:t>
            </w:r>
          </w:p>
        </w:tc>
        <w:tc>
          <w:tcPr>
            <w:tcW w:type="dxa" w:w="1562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Change</w:t>
            </w:r>
          </w:p>
        </w:tc>
        <w:tc>
          <w:tcPr>
            <w:tcW w:type="dxa" w:w="1802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Median rent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Yield</w:t>
            </w:r>
          </w:p>
        </w:tc>
        <w:tc>
          <w:tcPr>
            <w:tcW w:type="dxa" w:w="1321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Sales</w:t>
            </w:r>
          </w:p>
        </w:tc>
      </w:tr>
      <w:tr>
        <w:trPr>
          <w:cantSplit/>
          <w:trHeight w:val="397" w:hRule="atLeast"/>
        </w:trPr>
        <w:tc>
          <w:tcPr>
            <w:tcW w:type="dxa" w:w="18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{{period}}</w:t>
            </w:r>
          </w:p>
        </w:tc>
        <w:tc>
          <w:tcPr>
            <w:tcW w:type="dxa" w:w="216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{{median}}</w:t>
            </w:r>
          </w:p>
        </w:tc>
        <w:tc>
          <w:tcPr>
            <w:tcW w:type="dxa" w:w="156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{{change}}</w:t>
            </w:r>
          </w:p>
        </w:tc>
        <w:tc>
          <w:tcPr>
            <w:tcW w:type="dxa" w:w="18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{{yield}}</w:t>
            </w:r>
          </w:p>
        </w:tc>
        <w:tc>
          <w:tcPr>
            <w:tcW w:type="dxa" w:w="13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{{sales}}</w:t>
            </w:r>
          </w:p>
        </w:tc>
      </w:tr>
      <w:tr>
        <w:trPr>
          <w:cantSplit/>
          <w:trHeight w:val="397" w:hRule="atLeast"/>
        </w:trPr>
        <w:tc>
          <w:tcPr>
            <w:tcW w:type="dxa" w:w="18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{{period}}</w:t>
            </w:r>
          </w:p>
        </w:tc>
        <w:tc>
          <w:tcPr>
            <w:tcW w:type="dxa" w:w="216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{{median}}</w:t>
            </w:r>
          </w:p>
        </w:tc>
        <w:tc>
          <w:tcPr>
            <w:tcW w:type="dxa" w:w="156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{{change}}</w:t>
            </w:r>
          </w:p>
        </w:tc>
        <w:tc>
          <w:tcPr>
            <w:tcW w:type="dxa" w:w="18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{{yield}}</w:t>
            </w:r>
          </w:p>
        </w:tc>
        <w:tc>
          <w:tcPr>
            <w:tcW w:type="dxa" w:w="13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{{sales}}</w:t>
            </w:r>
          </w:p>
        </w:tc>
      </w:tr>
      <w:tr>
        <w:trPr>
          <w:cantSplit/>
          <w:trHeight w:val="397" w:hRule="atLeast"/>
        </w:trPr>
        <w:tc>
          <w:tcPr>
            <w:tcW w:type="dxa" w:w="18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{{period}}</w:t>
            </w:r>
          </w:p>
        </w:tc>
        <w:tc>
          <w:tcPr>
            <w:tcW w:type="dxa" w:w="216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{{median}}</w:t>
            </w:r>
          </w:p>
        </w:tc>
        <w:tc>
          <w:tcPr>
            <w:tcW w:type="dxa" w:w="156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{{change}}</w:t>
            </w:r>
          </w:p>
        </w:tc>
        <w:tc>
          <w:tcPr>
            <w:tcW w:type="dxa" w:w="18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{{yield}}</w:t>
            </w:r>
          </w:p>
        </w:tc>
        <w:tc>
          <w:tcPr>
            <w:tcW w:type="dxa" w:w="13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{{sales}}</w:t>
            </w:r>
          </w:p>
        </w:tc>
      </w:tr>
      <w:tr>
        <w:trPr>
          <w:cantSplit/>
          <w:trHeight w:val="397" w:hRule="atLeast"/>
        </w:trPr>
        <w:tc>
          <w:tcPr>
            <w:tcW w:type="dxa" w:w="18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{{period}}</w:t>
            </w:r>
          </w:p>
        </w:tc>
        <w:tc>
          <w:tcPr>
            <w:tcW w:type="dxa" w:w="216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{{median}}</w:t>
            </w:r>
          </w:p>
        </w:tc>
        <w:tc>
          <w:tcPr>
            <w:tcW w:type="dxa" w:w="156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{{change}}</w:t>
            </w:r>
          </w:p>
        </w:tc>
        <w:tc>
          <w:tcPr>
            <w:tcW w:type="dxa" w:w="18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{{yield}}</w:t>
            </w:r>
          </w:p>
        </w:tc>
        <w:tc>
          <w:tcPr>
            <w:tcW w:type="dxa" w:w="13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{{sales}}</w:t>
            </w:r>
          </w:p>
        </w:tc>
      </w:tr>
      <w:tr>
        <w:trPr>
          <w:cantSplit/>
          <w:trHeight w:val="397" w:hRule="atLeast"/>
        </w:trPr>
        <w:tc>
          <w:tcPr>
            <w:tcW w:type="dxa" w:w="18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{{period}}</w:t>
            </w:r>
          </w:p>
        </w:tc>
        <w:tc>
          <w:tcPr>
            <w:tcW w:type="dxa" w:w="216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{{median}}</w:t>
            </w:r>
          </w:p>
        </w:tc>
        <w:tc>
          <w:tcPr>
            <w:tcW w:type="dxa" w:w="156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{{change}}</w:t>
            </w:r>
          </w:p>
        </w:tc>
        <w:tc>
          <w:tcPr>
            <w:tcW w:type="dxa" w:w="18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{{yield}}</w:t>
            </w:r>
          </w:p>
        </w:tc>
        <w:tc>
          <w:tcPr>
            <w:tcW w:type="dxa" w:w="13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{{sales}}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Medians on fewer than 40 sales a year move on composition as much as on value; read the trend, not any single year.</w:t>
      </w:r>
    </w:p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04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Supply &amp; demand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What is available and who wants it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2948" w:hRule="atLeast"/>
        </w:trPr>
        <w:tc>
          <w:tcPr>
            <w:tcW w:type="dxa" w:w="1009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F7F9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8"/>
                <w:u w:val="none"/>
              </w:rPr>
              <w:t>Listings, days on market and absorption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36"/>
                <w:sz w:val="15"/>
                <w:u w:val="none"/>
              </w:rPr>
              <w:t>[  COMBINATION CHART  ]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{{suburb.supplyDemand}}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Rolling three-month   ·   Source: Listing data   ·   Alt text: Listing volumes fell 31% over three years while days on market fell from 42 to 26</w:t>
      </w:r>
    </w:p>
    <w:p>
      <w:pPr>
        <w:keepNext w:val="0"/>
        <w:keepLines/>
        <w:pageBreakBefore w:val="0"/>
        <w:widowControl w:val="1"/>
        <w:spacing w:before="0" w:after="0" w:line="108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8"/>
          <w:sz w:val="15"/>
          <w:u w:val="none"/>
        </w:rPr>
        <w:t>Days on market by year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26"/>
        <w:gridCol w:w="5651"/>
        <w:gridCol w:w="1615"/>
      </w:tblGrid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{{period}}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0C234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{{days}}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{{period}}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{{days}}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{{period}}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12B0C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{{days}}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{{period}}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5B96E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{{days}}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{{period}}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0E8AA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{{days}}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Shorter days on market with falling listing volume indicates demand outstripping supply rather than improving marketing.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05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Demographics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Who lives here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8"/>
          <w:sz w:val="15"/>
          <w:u w:val="none"/>
        </w:rPr>
        <w:t>Demographic profile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emographic profile"/>
        <w:tblDescription w:val="Columns: Measure, Suburb, Greater metro, Read"/>
      </w:tblPr>
      <w:tblGrid>
        <w:gridCol w:w="2948"/>
        <w:gridCol w:w="1701"/>
        <w:gridCol w:w="1928"/>
        <w:gridCol w:w="3515"/>
      </w:tblGrid>
      <w:tr>
        <w:trPr>
          <w:cantSplit/>
          <w:trHeight w:val="420" w:hRule="atLeast"/>
          <w:tblHeader/>
        </w:trPr>
        <w:tc>
          <w:tcPr>
            <w:tcW w:type="dxa" w:w="294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Measure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Suburb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Greater metro</w:t>
            </w:r>
          </w:p>
        </w:tc>
        <w:tc>
          <w:tcPr>
            <w:tcW w:type="dxa" w:w="3515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Read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{{suburb}}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{{metro}}</w:t>
            </w:r>
          </w:p>
        </w:tc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{{read}}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{{suburb}}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{{metro}}</w:t>
            </w:r>
          </w:p>
        </w:tc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{{read}}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{{suburb}}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{{metro}}</w:t>
            </w:r>
          </w:p>
        </w:tc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{{read}}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{{suburb}}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{{metro}}</w:t>
            </w:r>
          </w:p>
        </w:tc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{{read}}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{{suburb}}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{{metro}}</w:t>
            </w:r>
          </w:p>
        </w:tc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{{read}}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{{suburb}}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{{metro}}</w:t>
            </w:r>
          </w:p>
        </w:tc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{{read}}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8"/>
          <w:sz w:val="15"/>
          <w:u w:val="none"/>
        </w:rPr>
        <w:t>Infrastructure &amp; amenity — committed and proposed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454"/>
        <w:gridCol w:w="7620"/>
      </w:tblGrid>
      <w:tr>
        <w:trPr>
          <w:cantSplit/>
          <w:trHeight w:val="567" w:hRule="atLeast"/>
        </w:trPr>
        <w:tc>
          <w:tcPr>
            <w:tcW w:type="dxa" w:w="2018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2B0CE"/>
              <w:bottom w:val="nil"/>
              <w:right w:val="nil"/>
            </w:tcBorders>
            <w:shd w:val="clear" w:color="auto" w:fill="D5F1F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2B0CE"/>
              <w:bottom w:val="nil"/>
              <w:right w:val="nil"/>
            </w:tcBorders>
            <w:shd w:val="clear" w:color="auto" w:fill="D5F1F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2B0CE"/>
              <w:bottom w:val="nil"/>
              <w:right w:val="nil"/>
            </w:tcBorders>
            <w:shd w:val="clear" w:color="auto" w:fill="D5F1F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06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Location map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The catchment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3855" w:hRule="atLeast"/>
        </w:trPr>
        <w:tc>
          <w:tcPr>
            <w:tcW w:type="dxa" w:w="10091"/>
            <w:shd w:val="clear" w:color="auto" w:fill="EDF1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32"/>
                <w:sz w:val="15"/>
                <w:u w:val="none"/>
              </w:rPr>
              <w:t>[  SUBURB AND CATCHMENT MAP  ]</w:t>
            </w:r>
          </w:p>
        </w:tc>
      </w:tr>
    </w:tbl>
    <w:p>
      <w:pPr>
        <w:keepNext w:val="0"/>
        <w:keepLines/>
        <w:pageBreakBefore w:val="0"/>
        <w:widowControl w:val="1"/>
        <w:spacing w:before="60" w:after="0" w:line="293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Alt text: Map showing the suburb boundary, rail, schools and the employment centre</w:t>
      </w:r>
    </w:p>
    <w:p>
      <w:pPr>
        <w:keepNext w:val="0"/>
        <w:keepLines/>
        <w:pageBreakBefore w:val="0"/>
        <w:widowControl w:val="1"/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cantSplit/>
        </w:trPr>
        <w:tc>
          <w:tcPr>
            <w:tcW w:type="dxa" w:w="201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 xml:space="preserve">▬  </w:t>
            </w: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Suburb boundary</w:t>
            </w:r>
          </w:p>
        </w:tc>
        <w:tc>
          <w:tcPr>
            <w:tcW w:type="dxa" w:w="201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7"/>
                <w:u w:val="none"/>
              </w:rPr>
              <w:t xml:space="preserve">▲  </w:t>
            </w: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Rail</w:t>
            </w:r>
          </w:p>
        </w:tc>
        <w:tc>
          <w:tcPr>
            <w:tcW w:type="dxa" w:w="201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7"/>
                <w:u w:val="none"/>
              </w:rPr>
              <w:t xml:space="preserve">■  </w:t>
            </w: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Schools</w:t>
            </w:r>
          </w:p>
        </w:tc>
        <w:tc>
          <w:tcPr>
            <w:tcW w:type="dxa" w:w="201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5B96EB"/>
                <w:sz w:val="17"/>
                <w:u w:val="none"/>
              </w:rPr>
              <w:t xml:space="preserve">◆  </w:t>
            </w: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Retail</w:t>
            </w:r>
          </w:p>
        </w:tc>
        <w:tc>
          <w:tcPr>
            <w:tcW w:type="dxa" w:w="201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E8AA3"/>
                <w:sz w:val="17"/>
                <w:u w:val="none"/>
              </w:rPr>
              <w:t xml:space="preserve">●  </w:t>
            </w: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Employment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26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8"/>
          <w:sz w:val="15"/>
          <w:u w:val="none"/>
        </w:rPr>
        <w:t>Comparable suburbs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Comparable suburbs"/>
        <w:tblDescription w:val="Compares: Northbridge, Willoughby, Naremburn"/>
      </w:tblPr>
      <w:tblGrid>
        <w:gridCol w:w="2624"/>
        <w:gridCol w:w="2489"/>
        <w:gridCol w:w="2489"/>
        <w:gridCol w:w="2489"/>
      </w:tblGrid>
      <w:tr>
        <w:trPr>
          <w:cantSplit/>
          <w:trHeight w:val="510" w:hRule="atLeast"/>
          <w:tblHeader/>
        </w:trPr>
        <w:tc>
          <w:tcPr>
            <w:tcW w:type="dxa" w:w="2624"/>
            <w:tcBorders>
              <w:top w:val="nil"/>
              <w:left w:val="nil"/>
              <w:bottom w:val="single" w:sz="8" w:space="0" w:color="12B0CE"/>
              <w:right w:val="single" w:sz="16" w:space="0" w:color="FFFFFF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2B0CE"/>
              <w:right w:val="single" w:sz="16" w:space="0" w:color="FFFFFF"/>
            </w:tcBorders>
            <w:shd w:val="clear" w:color="auto" w:fill="12B0CE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Northbridge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2B0CE"/>
              <w:right w:val="single" w:sz="16" w:space="0" w:color="FFFFFF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Willoughby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Naremburn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Median — house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EFA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$1,842,000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$2,410,000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$2,180,000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10-year growth p.a.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EFA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6.1%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5.6%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5.9%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Gross yield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EFA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2.9%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2.6%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2.7%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Vacancy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EFA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1.1%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1.4%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1.2%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Owner-occupied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EFA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71%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64%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61%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Annual sales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EFA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41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96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72</w:t>
            </w:r>
          </w:p>
        </w:tc>
      </w:tr>
    </w:tbl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07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Outlook &amp; risks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What could change the thesis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B3261E"/>
          <w:spacing w:val="28"/>
          <w:sz w:val="15"/>
          <w:u w:val="none"/>
        </w:rPr>
        <w:t>Outlook &amp; risks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Outlook &amp; risks"/>
        <w:tblDescription w:val="Columns: Risk, Severity, Mitigation"/>
      </w:tblPr>
      <w:tblGrid>
        <w:gridCol w:w="4037"/>
        <w:gridCol w:w="1413"/>
        <w:gridCol w:w="4642"/>
      </w:tblGrid>
      <w:tr>
        <w:trPr>
          <w:cantSplit/>
          <w:tblHeader/>
        </w:trPr>
        <w:tc>
          <w:tcPr>
            <w:tcW w:type="dxa" w:w="4037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Risk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Severity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Mitigation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08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Conclusion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Invest, monitor or avoid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12B0CE"/>
              <w:left w:val="single" w:sz="26" w:space="0" w:color="12B0CE"/>
              <w:bottom w:val="single" w:sz="6" w:space="0" w:color="12B0CE"/>
              <w:right w:val="single" w:sz="6" w:space="0" w:color="12B0CE"/>
            </w:tcBorders>
            <w:shd w:val="clear" w:color="auto" w:fill="EEFAFC"/>
            <w:tcMar>
              <w:top w:w="171" w:type="dxa"/>
              <w:left w:w="199" w:type="dxa"/>
              <w:bottom w:w="171" w:type="dxa"/>
              <w:right w:w="19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5"/>
                <w:u w:val="none"/>
              </w:rPr>
              <w:t>CONCLUSION</w:t>
            </w: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4"/>
                <w:u w:val="none"/>
              </w:rPr>
              <w:t xml:space="preserve">     CONFIDENCE: {{REPORT.CONFIDENCE}}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2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2"/>
                <w:u w:val="none"/>
              </w:rPr>
              <w:t>{{report.conclusion}}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{{report.conclusionRationale}}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4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8"/>
                <w:sz w:val="15"/>
                <w:u w:val="none"/>
              </w:rPr>
              <w:t>Next steps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0" w:after="0" w:line="31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>1.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{{report.conclusionActions[0]}}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1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>2.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{{report.conclusionActions[1]}}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1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>3.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{{report.conclusionActions[2]}}</w:t>
            </w:r>
          </w:p>
        </w:tc>
      </w:tr>
    </w:tbl>
    <w:p>
      <w:pPr>
        <w:keepNext/>
        <w:keepLines/>
        <w:pageBreakBefore w:val="1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12B0CE"/>
          <w:spacing w:val="52"/>
          <w:sz w:val="15"/>
          <w:u w:val="none"/>
        </w:rPr>
        <w:t>APPENDIX A</w:t>
      </w:r>
    </w:p>
    <w:p>
      <w:pPr>
        <w:keepNext/>
        <w:keepLines/>
        <w:pageBreakBefore w:val="0"/>
        <w:widowControl w:val="1"/>
        <w:spacing w:before="0" w:after="120"/>
      </w:pPr>
      <w:r>
        <w:rPr>
          <w:rFonts w:ascii="Calibri" w:hAnsi="Calibri" w:cs="Calibri" w:eastAsia="Calibri"/>
          <w:b/>
          <w:i w:val="0"/>
          <w:color w:val="0C2340"/>
          <w:sz w:val="34"/>
          <w:u w:val="none"/>
        </w:rPr>
        <w:t>Data sources</w:t>
      </w:r>
    </w:p>
    <w:p>
      <w:pPr>
        <w:keepNext w:val="0"/>
        <w:keepLines/>
        <w:pageBreakBefore w:val="0"/>
        <w:widowControl w:val="1"/>
        <w:pBdr>
          <w:bottom w:val="single" w:sz="10" w:space="1" w:color="12B0CE"/>
        </w:pBdr>
        <w:spacing w:before="0" w:after="12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17" w:lineRule="auto"/>
      </w:pPr>
      <w:r>
        <w:rPr>
          <w:rFonts w:ascii="Calibri" w:hAnsi="Calibri" w:cs="Calibri" w:eastAsia="Calibri"/>
          <w:b w:val="0"/>
          <w:i w:val="0"/>
          <w:color w:val="4C5B73"/>
          <w:sz w:val="19"/>
          <w:u w:val="none"/>
        </w:rPr>
        <w:t>Every figure in this report and where it came from.</w:t>
      </w:r>
    </w:p>
    <w:p>
      <w:pPr>
        <w:keepNext w:val="0"/>
        <w:keepLines/>
        <w:pageBreakBefore w:val="0"/>
        <w:widowControl w:val="1"/>
        <w:spacing w:before="0" w:after="0" w:line="108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Data, Source, As at"/>
      </w:tblPr>
      <w:tblGrid>
        <w:gridCol w:w="3515"/>
        <w:gridCol w:w="4422"/>
        <w:gridCol w:w="2154"/>
      </w:tblGrid>
      <w:tr>
        <w:trPr>
          <w:cantSplit/>
          <w:trHeight w:val="420" w:hRule="atLeast"/>
          <w:tblHeader/>
        </w:trPr>
        <w:tc>
          <w:tcPr>
            <w:tcW w:type="dxa" w:w="3515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Data</w:t>
            </w:r>
          </w:p>
        </w:tc>
        <w:tc>
          <w:tcPr>
            <w:tcW w:type="dxa" w:w="4422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Source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As at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{{data}}</w:t>
            </w:r>
          </w:p>
        </w:tc>
        <w:tc>
          <w:tcPr>
            <w:tcW w:type="dxa" w:w="442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{{asAt}}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{{data}}</w:t>
            </w:r>
          </w:p>
        </w:tc>
        <w:tc>
          <w:tcPr>
            <w:tcW w:type="dxa" w:w="442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{{asAt}}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{{data}}</w:t>
            </w:r>
          </w:p>
        </w:tc>
        <w:tc>
          <w:tcPr>
            <w:tcW w:type="dxa" w:w="442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{{asAt}}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{{data}}</w:t>
            </w:r>
          </w:p>
        </w:tc>
        <w:tc>
          <w:tcPr>
            <w:tcW w:type="dxa" w:w="442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{{asAt}}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{{data}}</w:t>
            </w:r>
          </w:p>
        </w:tc>
        <w:tc>
          <w:tcPr>
            <w:tcW w:type="dxa" w:w="442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{{asAt}}</w:t>
            </w:r>
          </w:p>
        </w:tc>
      </w:tr>
    </w:tbl>
    <w:p>
      <w:pPr>
        <w:keepNext w:val="0"/>
        <w:keepLines/>
        <w:pageBreakBefore w:val="1"/>
        <w:widowControl w:val="1"/>
        <w:spacing w:before="0" w:after="0" w:line="20" w:lineRule="exact"/>
        <w:rPr>
          <w:sz w:val="2"/>
        </w:rPr>
      </w:pP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Important information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Disclaimer, privacy and terms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1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1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1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2B0CE"/>
              <w:spacing w:val="28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2B0CE"/>
              <w:spacing w:val="28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2B0CE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8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2B0CE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8"/>
              <w:sz w:val="14"/>
              <w:u w:val="none"/>
            </w:rPr>
            <w:t>Suburb Analysis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7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Suburb Analysis Report</dc:title>
  <dc:subject>Location-level research: demographics, supply, demand, price and rent history, infrastructure and outlook for one suburb.</dc:subject>
  <dc:creator>Aurixa Systems</dc:creator>
  <cp:keywords>Suburb analysis, Location research, Area report, Property &amp; Buyer's Agency,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