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C2CDDC"/>
              <w:left w:val="single" w:sz="6" w:space="0" w:color="C2CDDC"/>
              <w:bottom w:val="single" w:sz="6" w:space="0" w:color="C2CDDC"/>
              <w:right w:val="single" w:sz="6" w:space="0" w:color="C2CDDC"/>
            </w:tcBorders>
            <w:shd w:val="clear" w:color="auto" w:fill="EDF1F7"/>
            <w:tcMar>
              <w:top w:w="1150" w:type="dxa"/>
              <w:left w:w="200" w:type="dxa"/>
              <w:bottom w:w="1150" w:type="dxa"/>
              <w:right w:w="200" w:type="dxa"/>
            </w:tcMar>
          </w:tcPr>
          <w:p>
            <w:pPr>
              <w:keepNext w:val="0"/>
              <w:keepLines/>
              <w:pageBreakBefore w:val="0"/>
              <w:widowControl w:val="1"/>
              <w:spacing w:before="0" w:after="0"/>
              <w:jc w:val="center"/>
            </w:pPr>
            <w:r>
              <w:rPr>
                <w:rFonts w:ascii="Calibri" w:hAnsi="Calibri" w:cs="Calibri" w:eastAsia="Calibri"/>
                <w:b/>
                <w:i w:val="0"/>
                <w:caps w:val="1"/>
                <w:color w:val="8493A8"/>
                <w:spacing w:val="32"/>
                <w:sz w:val="15"/>
                <w:u w:val="none"/>
              </w:rPr>
              <w:t>[  COVER IMAGE  —  1600 × 900 px minimum  ]</w:t>
            </w:r>
          </w:p>
          <w:p>
            <w:pPr>
              <w:keepNext w:val="0"/>
              <w:keepLines/>
              <w:pageBreakBefore w:val="0"/>
              <w:widowControl w:val="1"/>
              <w:spacing w:before="80" w:after="0"/>
              <w:jc w:val="center"/>
            </w:pPr>
            <w:r>
              <w:rPr>
                <w:rFonts w:ascii="Calibri" w:hAnsi="Calibri" w:cs="Calibri" w:eastAsia="Calibri"/>
                <w:b w:val="0"/>
                <w:i w:val="0"/>
                <w:color w:val="8493A8"/>
                <w:sz w:val="14"/>
                <w:u w:val="none"/>
              </w:rPr>
              <w:t>Typical streetscape, Northbridge</w:t>
            </w:r>
          </w:p>
        </w:tc>
      </w:tr>
    </w:tbl>
    <w:p>
      <w:pPr>
        <w:keepNext w:val="0"/>
        <w:keepLines/>
        <w:pageBreakBefore w:val="0"/>
        <w:widowControl w:val="1"/>
        <w:spacing w:before="0" w:after="0" w:line="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6690" w:hRule="atLeast"/>
        </w:trPr>
        <w:tc>
          <w:tcPr>
            <w:tcW w:type="dxa" w:w="10091"/>
            <w:tcBorders>
              <w:top w:val="single" w:sz="10" w:space="0" w:color="12B0CE"/>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2B0CE"/>
                    <w:left w:val="dashed" w:sz="8" w:space="0" w:color="12B0CE"/>
                    <w:bottom w:val="dashed" w:sz="8" w:space="0" w:color="12B0CE"/>
                    <w:right w:val="dashed" w:sz="8" w:space="0" w:color="12B0CE"/>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2B0CE"/>
                      <w:spacing w:val="36"/>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2B0CE"/>
                <w:spacing w:val="60"/>
                <w:sz w:val="16"/>
                <w:u w:val="none"/>
              </w:rPr>
              <w:t>Location research</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4"/>
                <w:sz w:val="60"/>
                <w:u w:val="none"/>
              </w:rPr>
              <w:t>Northbridge, NSW 2063</w:t>
            </w:r>
          </w:p>
          <w:p>
            <w:pPr>
              <w:keepNext w:val="0"/>
              <w:keepLines/>
              <w:pageBreakBefore w:val="0"/>
              <w:widowControl w:val="1"/>
              <w:spacing w:before="0" w:after="0" w:line="322" w:lineRule="auto"/>
            </w:pPr>
            <w:r>
              <w:rPr>
                <w:rFonts w:ascii="Calibri" w:hAnsi="Calibri" w:cs="Calibri" w:eastAsia="Calibri"/>
                <w:b w:val="0"/>
                <w:i w:val="0"/>
                <w:color w:val="AFC0D6"/>
                <w:sz w:val="22"/>
                <w:u w:val="none"/>
              </w:rPr>
              <w:t>Demographics, supply, demand, price and rent history, infrastructure and outlook — and whether the location supports your strategy.</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309"/>
              <w:gridCol w:w="4309"/>
            </w:tblGrid>
            <w:tr>
              <w:trPr>
                <w:cantSplit/>
              </w:trPr>
              <w:tc>
                <w:tcPr>
                  <w:tcW w:type="dxa" w:w="4309"/>
                  <w:tcBorders>
                    <w:top w:val="single" w:sz="4" w:space="0" w:color="12B0CE"/>
                    <w:left w:val="single" w:sz="4" w:space="0" w:color="12B0CE"/>
                    <w:bottom w:val="single" w:sz="4" w:space="0" w:color="12B0CE"/>
                    <w:right w:val="single" w:sz="4" w:space="0" w:color="12B0CE"/>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2B0CE"/>
                      <w:spacing w:val="28"/>
                      <w:sz w:val="14"/>
                      <w:u w:val="none"/>
                    </w:rPr>
                    <w:t>10-YEAR DATA</w:t>
                  </w:r>
                </w:p>
              </w:tc>
              <w:tc>
                <w:tcPr>
                  <w:tcW w:type="dxa" w:w="4309"/>
                  <w:tcBorders>
                    <w:top w:val="single" w:sz="4" w:space="0" w:color="12B0CE"/>
                    <w:left w:val="single" w:sz="4" w:space="0" w:color="12B0CE"/>
                    <w:bottom w:val="single" w:sz="4" w:space="0" w:color="12B0CE"/>
                    <w:right w:val="single" w:sz="4" w:space="0" w:color="12B0CE"/>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2B0CE"/>
                      <w:spacing w:val="28"/>
                      <w:sz w:val="14"/>
                      <w:u w:val="none"/>
                    </w:rPr>
                    <w:t>AS AT 30/06/26</w:t>
                  </w:r>
                </w:p>
              </w:tc>
            </w:tr>
          </w:tbl>
          <w:p/>
        </w:tc>
      </w:tr>
    </w:tbl>
    <w:p>
      <w:pPr>
        <w:keepNext w:val="0"/>
        <w:keepLines/>
        <w:pageBreakBefore w:val="0"/>
        <w:widowControl w:val="1"/>
        <w:spacing w:before="0" w:after="0" w:line="2494"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01</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Snapshot</w:t>
            </w:r>
          </w:p>
          <w:p>
            <w:pPr>
              <w:keepNext/>
              <w:keepLines/>
              <w:pageBreakBefore w:val="0"/>
              <w:widowControl w:val="1"/>
              <w:spacing w:before="0" w:after="0"/>
            </w:pPr>
            <w:r>
              <w:rPr>
                <w:rFonts w:ascii="Calibri" w:hAnsi="Calibri" w:cs="Calibri" w:eastAsia="Calibri"/>
                <w:b w:val="0"/>
                <w:i w:val="0"/>
                <w:caps w:val="1"/>
                <w:color w:val="12B0CE"/>
                <w:spacing w:val="22"/>
                <w:sz w:val="14"/>
                <w:u w:val="none"/>
              </w:rPr>
              <w:t>Where the market sits today</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MEDIAN — HOUSE</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12-MONTH GROWTH</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GROSS YIELD</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VACANCY</w:t>
            </w:r>
          </w:p>
        </w:tc>
      </w:tr>
      <w:tr>
        <w:trPr>
          <w:cantSplit/>
        </w:trPr>
        <w:tc>
          <w:tcPr>
            <w:tcW w:type="dxa" w:w="2523"/>
            <w:tcBorders>
              <w:bottom w:val="single" w:sz="8" w:space="0" w:color="12B0CE"/>
              <w:right w:val="single" w:sz="24" w:space="0" w:color="FFFFFF"/>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$1,842,000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12 months to Jun 26</w:t>
            </w:r>
          </w:p>
        </w:tc>
        <w:tc>
          <w:tcPr>
            <w:tcW w:type="dxa" w:w="2523"/>
            <w:tcBorders>
              <w:bottom w:val="single" w:sz="8" w:space="0" w:color="12B0CE"/>
              <w:right w:val="single" w:sz="24" w:space="0" w:color="FFFFFF"/>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+4.8%</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Houses</w:t>
            </w:r>
          </w:p>
        </w:tc>
        <w:tc>
          <w:tcPr>
            <w:tcW w:type="dxa" w:w="2523"/>
            <w:tcBorders>
              <w:bottom w:val="single" w:sz="8" w:space="0" w:color="12B0CE"/>
              <w:right w:val="single" w:sz="24" w:space="0" w:color="FFFFFF"/>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2.9%</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Houses</w:t>
            </w:r>
          </w:p>
        </w:tc>
        <w:tc>
          <w:tcPr>
            <w:tcW w:type="dxa" w:w="2523"/>
            <w:tcBorders>
              <w:bottom w:val="single" w:sz="8" w:space="0" w:color="12B0CE"/>
              <w:right w:val="nil"/>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1.1%</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Below the 2.5% balance point</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02</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Executive summary</w:t>
            </w:r>
          </w:p>
          <w:p>
            <w:pPr>
              <w:keepNext/>
              <w:keepLines/>
              <w:pageBreakBefore w:val="0"/>
              <w:widowControl w:val="1"/>
              <w:spacing w:before="0" w:after="0"/>
            </w:pPr>
            <w:r>
              <w:rPr>
                <w:rFonts w:ascii="Calibri" w:hAnsi="Calibri" w:cs="Calibri" w:eastAsia="Calibri"/>
                <w:b w:val="0"/>
                <w:i w:val="0"/>
                <w:caps w:val="1"/>
                <w:color w:val="12B0CE"/>
                <w:spacing w:val="22"/>
                <w:sz w:val="14"/>
                <w:u w:val="none"/>
              </w:rPr>
              <w:t>The location thesis</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2B0CE"/>
              <w:bottom w:val="single" w:sz="4" w:space="0" w:color="DCE3ED"/>
              <w:right w:val="single" w:sz="4" w:space="0" w:color="DCE3ED"/>
            </w:tcBorders>
            <w:shd w:val="clear" w:color="auto" w:fill="F7F9FC"/>
            <w:tcMar>
              <w:top w:w="171" w:type="dxa"/>
              <w:left w:w="199" w:type="dxa"/>
              <w:bottom w:w="171" w:type="dxa"/>
              <w:right w:w="199" w:type="dxa"/>
            </w:tcMar>
          </w:tcPr>
          <w:p>
            <w:pPr>
              <w:keepNext/>
              <w:keepLines/>
              <w:pageBreakBefore w:val="0"/>
              <w:widowControl w:val="1"/>
              <w:spacing w:before="0" w:after="80"/>
            </w:pPr>
            <w:r>
              <w:rPr>
                <w:rFonts w:ascii="Calibri" w:hAnsi="Calibri" w:cs="Calibri" w:eastAsia="Calibri"/>
                <w:b/>
                <w:i w:val="0"/>
                <w:caps w:val="1"/>
                <w:color w:val="12B0CE"/>
                <w:spacing w:val="28"/>
                <w:sz w:val="15"/>
                <w:u w:val="none"/>
              </w:rPr>
              <w:t>Executive summary</w:t>
            </w:r>
          </w:p>
          <w:p>
            <w:pPr>
              <w:keepNext/>
              <w:keepLines/>
              <w:pageBreakBefore w:val="0"/>
              <w:widowControl w:val="1"/>
              <w:spacing w:before="0" w:after="120" w:line="293" w:lineRule="auto"/>
            </w:pPr>
            <w:r>
              <w:rPr>
                <w:rFonts w:ascii="Calibri" w:hAnsi="Calibri" w:cs="Calibri" w:eastAsia="Calibri"/>
                <w:b/>
                <w:i w:val="0"/>
                <w:color w:val="0C2340"/>
                <w:sz w:val="23"/>
                <w:u w:val="none"/>
              </w:rPr>
              <w:t>A supply-constrained, owner-occupier-dominated suburb with strong ten-year growth and a yield too low for a cash-flow strategy.</w:t>
            </w:r>
          </w:p>
          <w:p>
            <w:pPr>
              <w:keepNext w:val="0"/>
              <w:keepLines/>
              <w:pageBreakBefore w:val="0"/>
              <w:widowControl w:val="1"/>
              <w:spacing w:before="0" w:after="0" w:line="317" w:lineRule="auto"/>
            </w:pPr>
            <w:r>
              <w:rPr>
                <w:rFonts w:ascii="Calibri" w:hAnsi="Calibri" w:cs="Calibri" w:eastAsia="Calibri"/>
                <w:b w:val="0"/>
                <w:i w:val="0"/>
                <w:color w:val="10192A"/>
                <w:sz w:val="19"/>
                <w:u w:val="none"/>
              </w:rPr>
              <w:t>Northbridge has recorded 6.1% compound annual growth over ten years against a metropolitan average of 5.4%. The outperformance is explained almost entirely by supply: the suburb is fully built out, holds a 550m² minimum lot size, and has averaged 41 house sales a year against a stock of roughly 2,100 dwellings — a turnover rate of under 2%.</w:t>
            </w:r>
          </w:p>
          <w:p>
            <w:pPr>
              <w:keepNext w:val="0"/>
              <w:keepLines/>
              <w:pageBreakBefore w:val="0"/>
              <w:widowControl w:val="1"/>
              <w:spacing w:before="100" w:after="0" w:line="317" w:lineRule="auto"/>
            </w:pPr>
            <w:r>
              <w:rPr>
                <w:rFonts w:ascii="Calibri" w:hAnsi="Calibri" w:cs="Calibri" w:eastAsia="Calibri"/>
                <w:b w:val="0"/>
                <w:i w:val="0"/>
                <w:color w:val="10192A"/>
                <w:sz w:val="19"/>
                <w:u w:val="none"/>
              </w:rPr>
              <w:t>The same constraint produces the weakness. Gross yield of 2.9% is well below the 4.2% threshold in your brief, and vacancy at 1.1% reflects an owner-occupier market rather than a deep rental one. Seventy-one per cent of dwellings are owner-occupied.</w:t>
            </w:r>
          </w:p>
          <w:p>
            <w:pPr>
              <w:keepNext w:val="0"/>
              <w:keepLines/>
              <w:pageBreakBefore w:val="0"/>
              <w:widowControl w:val="1"/>
              <w:spacing w:before="100" w:after="0" w:line="317" w:lineRule="auto"/>
            </w:pPr>
            <w:r>
              <w:rPr>
                <w:rFonts w:ascii="Calibri" w:hAnsi="Calibri" w:cs="Calibri" w:eastAsia="Calibri"/>
                <w:b w:val="0"/>
                <w:i w:val="0"/>
                <w:color w:val="10192A"/>
                <w:sz w:val="19"/>
                <w:u w:val="none"/>
              </w:rPr>
              <w:t>The suburb suits a growth-weighted, long-hold strategy funded from other income. It does not suit a portfolio that needs each asset to carry itself.</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What this means</w:t>
            </w:r>
          </w:p>
          <w:p>
            <w:pPr>
              <w:keepNext w:val="0"/>
              <w:keepLines/>
              <w:pageBreakBefore w:val="0"/>
              <w:widowControl w:val="1"/>
              <w:spacing w:before="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Ten-year growth of 6.1% p.a. against a 5.4% metropolitan average.</w:t>
            </w:r>
          </w:p>
          <w:p>
            <w:pPr>
              <w:keepNext w:val="0"/>
              <w:keepLines/>
              <w:pageBreakBefore w:val="0"/>
              <w:widowControl w:val="1"/>
              <w:spacing w:before="8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Yield of 2.9% is below your 4.2% threshold — this is a growth play.</w:t>
            </w:r>
          </w:p>
          <w:p>
            <w:pPr>
              <w:keepNext w:val="0"/>
              <w:keepLines/>
              <w:pageBreakBefore w:val="0"/>
              <w:widowControl w:val="1"/>
              <w:spacing w:before="8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Turnover under 2% of stock per year; expect to wait for the right property.</w:t>
            </w:r>
          </w:p>
          <w:p>
            <w:pPr>
              <w:keepNext w:val="0"/>
              <w:keepLines/>
              <w:pageBreakBefore w:val="0"/>
              <w:widowControl w:val="1"/>
              <w:spacing w:before="8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No material new supply is possible under the current planning controls.</w:t>
            </w:r>
          </w:p>
        </w:tc>
      </w:tr>
    </w:tbl>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03</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Market performance</w:t>
            </w:r>
          </w:p>
          <w:p>
            <w:pPr>
              <w:keepNext/>
              <w:keepLines/>
              <w:pageBreakBefore w:val="0"/>
              <w:widowControl w:val="1"/>
              <w:spacing w:before="0" w:after="0"/>
            </w:pPr>
            <w:r>
              <w:rPr>
                <w:rFonts w:ascii="Calibri" w:hAnsi="Calibri" w:cs="Calibri" w:eastAsia="Calibri"/>
                <w:b w:val="0"/>
                <w:i w:val="0"/>
                <w:caps w:val="1"/>
                <w:color w:val="12B0CE"/>
                <w:spacing w:val="22"/>
                <w:sz w:val="14"/>
                <w:u w:val="none"/>
              </w:rPr>
              <w:t>Ten years of price and rent</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3175" w:hRule="atLeast"/>
        </w:trPr>
        <w:tc>
          <w:tcPr>
            <w:tcW w:type="dxa" w:w="10091"/>
            <w:tcBorders>
              <w:top w:val="single" w:sz="4" w:space="0" w:color="C2CDDC"/>
              <w:left w:val="single" w:sz="4" w:space="0" w:color="C2CDDC"/>
              <w:bottom w:val="single" w:sz="4" w:space="0" w:color="C2CDDC"/>
              <w:right w:val="single" w:sz="4" w:space="0" w:color="C2CDDC"/>
            </w:tcBorders>
            <w:shd w:val="clear" w:color="auto" w:fill="F7F9FC"/>
            <w:tcMar>
              <w:top w:w="150" w:type="dxa"/>
              <w:left w:w="180" w:type="dxa"/>
              <w:bottom w:w="150" w:type="dxa"/>
              <w:right w:w="180" w:type="dxa"/>
            </w:tcMar>
            <w:vAlign w:val="center"/>
          </w:tcPr>
          <w:p>
            <w:pPr>
              <w:keepNext w:val="0"/>
              <w:keepLines/>
              <w:pageBreakBefore w:val="0"/>
              <w:widowControl w:val="1"/>
              <w:spacing w:before="0" w:after="60"/>
              <w:jc w:val="center"/>
            </w:pPr>
            <w:r>
              <w:rPr>
                <w:rFonts w:ascii="Calibri" w:hAnsi="Calibri" w:cs="Calibri" w:eastAsia="Calibri"/>
                <w:b/>
                <w:i w:val="0"/>
                <w:color w:val="0C2340"/>
                <w:sz w:val="18"/>
                <w:u w:val="none"/>
              </w:rPr>
              <w:t>Median price and median rent, 10 years</w:t>
            </w:r>
          </w:p>
          <w:p>
            <w:pPr>
              <w:keepNext w:val="0"/>
              <w:keepLines/>
              <w:pageBreakBefore w:val="0"/>
              <w:widowControl w:val="1"/>
              <w:spacing w:before="0" w:after="60"/>
              <w:jc w:val="center"/>
            </w:pPr>
            <w:r>
              <w:rPr>
                <w:rFonts w:ascii="Calibri" w:hAnsi="Calibri" w:cs="Calibri" w:eastAsia="Calibri"/>
                <w:b/>
                <w:i w:val="0"/>
                <w:caps w:val="1"/>
                <w:color w:val="12B0CE"/>
                <w:spacing w:val="36"/>
                <w:sz w:val="15"/>
                <w:u w:val="none"/>
              </w:rPr>
              <w:t>[  DUAL-AXIS LINE CHART  ]</w:t>
            </w:r>
          </w:p>
          <w:p>
            <w:pPr>
              <w:keepNext/>
              <w:keepLines/>
              <w:pageBreakBefore w:val="0"/>
              <w:widowControl w:val="1"/>
              <w:spacing w:before="0" w:after="0"/>
              <w:jc w:val="center"/>
            </w:pPr>
            <w:r>
              <w:rPr>
                <w:rFonts w:ascii="Calibri" w:hAnsi="Calibri" w:cs="Calibri" w:eastAsia="Calibri"/>
                <w:b w:val="0"/>
                <w:i w:val="0"/>
                <w:color w:val="8493A8"/>
                <w:sz w:val="14"/>
                <w:u w:val="none"/>
              </w:rPr>
              <w:t>{{suburb.priceHistory}}</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Houses only; medians are 12-month rolling   ·   Source: Valuer-general and rental bond data   ·   Alt text: Median price rose from $1.02m to $1.84m over ten years while median rent rose from $760 to $1,020 per week</w:t>
      </w:r>
    </w:p>
    <w:p>
      <w:pPr>
        <w:keepNext w:val="0"/>
        <w:keepLines/>
        <w:pageBreakBefore w:val="0"/>
        <w:widowControl w:val="1"/>
        <w:spacing w:before="0" w:after="0" w:line="126"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Five-year detail</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ive-year detail"/>
        <w:tblDescription w:val="Columns: Period, Median price, Change, Median rent, Yield, Sales"/>
      </w:tblPr>
      <w:tblGrid>
        <w:gridCol w:w="1802"/>
        <w:gridCol w:w="2162"/>
        <w:gridCol w:w="1562"/>
        <w:gridCol w:w="1802"/>
        <w:gridCol w:w="1442"/>
        <w:gridCol w:w="1321"/>
      </w:tblGrid>
      <w:tr>
        <w:trPr>
          <w:cantSplit/>
          <w:trHeight w:val="420" w:hRule="atLeast"/>
          <w:tblHeader/>
        </w:trPr>
        <w:tc>
          <w:tcPr>
            <w:tcW w:type="dxa" w:w="1802"/>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Period</w:t>
            </w:r>
          </w:p>
        </w:tc>
        <w:tc>
          <w:tcPr>
            <w:tcW w:type="dxa" w:w="2162"/>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Median price</w:t>
            </w:r>
          </w:p>
        </w:tc>
        <w:tc>
          <w:tcPr>
            <w:tcW w:type="dxa" w:w="1562"/>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Change</w:t>
            </w:r>
          </w:p>
        </w:tc>
        <w:tc>
          <w:tcPr>
            <w:tcW w:type="dxa" w:w="1802"/>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Median rent</w:t>
            </w:r>
          </w:p>
        </w:tc>
        <w:tc>
          <w:tcPr>
            <w:tcW w:type="dxa" w:w="1442"/>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Yield</w:t>
            </w:r>
          </w:p>
        </w:tc>
        <w:tc>
          <w:tcPr>
            <w:tcW w:type="dxa" w:w="1321"/>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Sales</w:t>
            </w:r>
          </w:p>
        </w:tc>
      </w:tr>
      <w:tr>
        <w:trPr>
          <w:cantSplit/>
          <w:trHeight w:val="397" w:hRule="atLeast"/>
        </w:trPr>
        <w:tc>
          <w:tcPr>
            <w:tcW w:type="dxa" w:w="180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FY2022</w:t>
            </w:r>
          </w:p>
        </w:tc>
        <w:tc>
          <w:tcPr>
            <w:tcW w:type="dxa" w:w="216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$1,612,000</w:t>
            </w:r>
          </w:p>
        </w:tc>
        <w:tc>
          <w:tcPr>
            <w:tcW w:type="dxa" w:w="156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+12.4%</w:t>
            </w:r>
          </w:p>
        </w:tc>
        <w:tc>
          <w:tcPr>
            <w:tcW w:type="dxa" w:w="180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$880</w:t>
            </w:r>
          </w:p>
        </w:tc>
        <w:tc>
          <w:tcPr>
            <w:tcW w:type="dxa" w:w="14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2.8%</w:t>
            </w:r>
          </w:p>
        </w:tc>
        <w:tc>
          <w:tcPr>
            <w:tcW w:type="dxa" w:w="132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58</w:t>
            </w:r>
          </w:p>
        </w:tc>
      </w:tr>
      <w:tr>
        <w:trPr>
          <w:cantSplit/>
          <w:trHeight w:val="397" w:hRule="atLeast"/>
        </w:trPr>
        <w:tc>
          <w:tcPr>
            <w:tcW w:type="dxa" w:w="180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FY2023</w:t>
            </w:r>
          </w:p>
        </w:tc>
        <w:tc>
          <w:tcPr>
            <w:tcW w:type="dxa" w:w="216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$1,548,000</w:t>
            </w:r>
          </w:p>
        </w:tc>
        <w:tc>
          <w:tcPr>
            <w:tcW w:type="dxa" w:w="156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−4.0%</w:t>
            </w:r>
          </w:p>
        </w:tc>
        <w:tc>
          <w:tcPr>
            <w:tcW w:type="dxa" w:w="180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$920</w:t>
            </w:r>
          </w:p>
        </w:tc>
        <w:tc>
          <w:tcPr>
            <w:tcW w:type="dxa" w:w="144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3.1%</w:t>
            </w:r>
          </w:p>
        </w:tc>
        <w:tc>
          <w:tcPr>
            <w:tcW w:type="dxa" w:w="132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44</w:t>
            </w:r>
          </w:p>
        </w:tc>
      </w:tr>
      <w:tr>
        <w:trPr>
          <w:cantSplit/>
          <w:trHeight w:val="397" w:hRule="atLeast"/>
        </w:trPr>
        <w:tc>
          <w:tcPr>
            <w:tcW w:type="dxa" w:w="180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FY2024</w:t>
            </w:r>
          </w:p>
        </w:tc>
        <w:tc>
          <w:tcPr>
            <w:tcW w:type="dxa" w:w="216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$1,671,000</w:t>
            </w:r>
          </w:p>
        </w:tc>
        <w:tc>
          <w:tcPr>
            <w:tcW w:type="dxa" w:w="156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+7.9%</w:t>
            </w:r>
          </w:p>
        </w:tc>
        <w:tc>
          <w:tcPr>
            <w:tcW w:type="dxa" w:w="180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$960</w:t>
            </w:r>
          </w:p>
        </w:tc>
        <w:tc>
          <w:tcPr>
            <w:tcW w:type="dxa" w:w="14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3.0%</w:t>
            </w:r>
          </w:p>
        </w:tc>
        <w:tc>
          <w:tcPr>
            <w:tcW w:type="dxa" w:w="132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39</w:t>
            </w:r>
          </w:p>
        </w:tc>
      </w:tr>
      <w:tr>
        <w:trPr>
          <w:cantSplit/>
          <w:trHeight w:val="397" w:hRule="atLeast"/>
        </w:trPr>
        <w:tc>
          <w:tcPr>
            <w:tcW w:type="dxa" w:w="180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FY2025</w:t>
            </w:r>
          </w:p>
        </w:tc>
        <w:tc>
          <w:tcPr>
            <w:tcW w:type="dxa" w:w="216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$1,758,000</w:t>
            </w:r>
          </w:p>
        </w:tc>
        <w:tc>
          <w:tcPr>
            <w:tcW w:type="dxa" w:w="156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+5.2%</w:t>
            </w:r>
          </w:p>
        </w:tc>
        <w:tc>
          <w:tcPr>
            <w:tcW w:type="dxa" w:w="180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$990</w:t>
            </w:r>
          </w:p>
        </w:tc>
        <w:tc>
          <w:tcPr>
            <w:tcW w:type="dxa" w:w="144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2.9%</w:t>
            </w:r>
          </w:p>
        </w:tc>
        <w:tc>
          <w:tcPr>
            <w:tcW w:type="dxa" w:w="132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36</w:t>
            </w:r>
          </w:p>
        </w:tc>
      </w:tr>
      <w:tr>
        <w:trPr>
          <w:cantSplit/>
          <w:trHeight w:val="397" w:hRule="atLeast"/>
        </w:trPr>
        <w:tc>
          <w:tcPr>
            <w:tcW w:type="dxa" w:w="180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FY2026</w:t>
            </w:r>
          </w:p>
        </w:tc>
        <w:tc>
          <w:tcPr>
            <w:tcW w:type="dxa" w:w="216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keepLines/>
              <w:pageBreakBefore w:val="0"/>
              <w:widowControl w:val="1"/>
              <w:spacing w:before="0" w:after="0" w:line="293" w:lineRule="auto"/>
              <w:jc w:val="right"/>
            </w:pPr>
            <w:r>
              <w:rPr>
                <w:rFonts w:ascii="Calibri" w:hAnsi="Calibri" w:cs="Calibri" w:eastAsia="Calibri"/>
                <w:b w:val="0"/>
                <w:i w:val="0"/>
                <w:color w:val="10192A"/>
                <w:sz w:val="17"/>
                <w:u w:val="none"/>
              </w:rPr>
              <w:t>$1,842,000</w:t>
            </w:r>
          </w:p>
        </w:tc>
        <w:tc>
          <w:tcPr>
            <w:tcW w:type="dxa" w:w="156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keepLines/>
              <w:pageBreakBefore w:val="0"/>
              <w:widowControl w:val="1"/>
              <w:spacing w:before="0" w:after="0" w:line="293" w:lineRule="auto"/>
              <w:jc w:val="right"/>
            </w:pPr>
            <w:r>
              <w:rPr>
                <w:rFonts w:ascii="Calibri" w:hAnsi="Calibri" w:cs="Calibri" w:eastAsia="Calibri"/>
                <w:b w:val="0"/>
                <w:i w:val="0"/>
                <w:color w:val="10192A"/>
                <w:sz w:val="17"/>
                <w:u w:val="none"/>
              </w:rPr>
              <w:t>+4.8%</w:t>
            </w:r>
          </w:p>
        </w:tc>
        <w:tc>
          <w:tcPr>
            <w:tcW w:type="dxa" w:w="180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keepLines/>
              <w:pageBreakBefore w:val="0"/>
              <w:widowControl w:val="1"/>
              <w:spacing w:before="0" w:after="0" w:line="293" w:lineRule="auto"/>
              <w:jc w:val="right"/>
            </w:pPr>
            <w:r>
              <w:rPr>
                <w:rFonts w:ascii="Calibri" w:hAnsi="Calibri" w:cs="Calibri" w:eastAsia="Calibri"/>
                <w:b w:val="0"/>
                <w:i w:val="0"/>
                <w:color w:val="10192A"/>
                <w:sz w:val="17"/>
                <w:u w:val="none"/>
              </w:rPr>
              <w:t>$1,020</w:t>
            </w:r>
          </w:p>
        </w:tc>
        <w:tc>
          <w:tcPr>
            <w:tcW w:type="dxa" w:w="14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keepLines/>
              <w:pageBreakBefore w:val="0"/>
              <w:widowControl w:val="1"/>
              <w:spacing w:before="0" w:after="0" w:line="293" w:lineRule="auto"/>
              <w:jc w:val="right"/>
            </w:pPr>
            <w:r>
              <w:rPr>
                <w:rFonts w:ascii="Calibri" w:hAnsi="Calibri" w:cs="Calibri" w:eastAsia="Calibri"/>
                <w:b w:val="0"/>
                <w:i w:val="0"/>
                <w:color w:val="10192A"/>
                <w:sz w:val="17"/>
                <w:u w:val="none"/>
              </w:rPr>
              <w:t>2.9%</w:t>
            </w:r>
          </w:p>
        </w:tc>
        <w:tc>
          <w:tcPr>
            <w:tcW w:type="dxa" w:w="132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keepLines/>
              <w:pageBreakBefore w:val="0"/>
              <w:widowControl w:val="1"/>
              <w:spacing w:before="0" w:after="0" w:line="293" w:lineRule="auto"/>
              <w:jc w:val="right"/>
            </w:pPr>
            <w:r>
              <w:rPr>
                <w:rFonts w:ascii="Calibri" w:hAnsi="Calibri" w:cs="Calibri" w:eastAsia="Calibri"/>
                <w:b w:val="0"/>
                <w:i w:val="0"/>
                <w:color w:val="10192A"/>
                <w:sz w:val="17"/>
                <w:u w:val="none"/>
              </w:rPr>
              <w:t>41</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Medians on fewer than 40 sales a year move on composition as much as on value; read the trend, not any single year.</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04</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Supply &amp; demand</w:t>
            </w:r>
          </w:p>
          <w:p>
            <w:pPr>
              <w:keepNext/>
              <w:keepLines/>
              <w:pageBreakBefore w:val="0"/>
              <w:widowControl w:val="1"/>
              <w:spacing w:before="0" w:after="0"/>
            </w:pPr>
            <w:r>
              <w:rPr>
                <w:rFonts w:ascii="Calibri" w:hAnsi="Calibri" w:cs="Calibri" w:eastAsia="Calibri"/>
                <w:b w:val="0"/>
                <w:i w:val="0"/>
                <w:caps w:val="1"/>
                <w:color w:val="12B0CE"/>
                <w:spacing w:val="22"/>
                <w:sz w:val="14"/>
                <w:u w:val="none"/>
              </w:rPr>
              <w:t>What is available and who wants it</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2948" w:hRule="atLeast"/>
        </w:trPr>
        <w:tc>
          <w:tcPr>
            <w:tcW w:type="dxa" w:w="10091"/>
            <w:tcBorders>
              <w:top w:val="single" w:sz="4" w:space="0" w:color="C2CDDC"/>
              <w:left w:val="single" w:sz="4" w:space="0" w:color="C2CDDC"/>
              <w:bottom w:val="single" w:sz="4" w:space="0" w:color="C2CDDC"/>
              <w:right w:val="single" w:sz="4" w:space="0" w:color="C2CDDC"/>
            </w:tcBorders>
            <w:shd w:val="clear" w:color="auto" w:fill="F7F9FC"/>
            <w:tcMar>
              <w:top w:w="150" w:type="dxa"/>
              <w:left w:w="180" w:type="dxa"/>
              <w:bottom w:w="150" w:type="dxa"/>
              <w:right w:w="180" w:type="dxa"/>
            </w:tcMar>
            <w:vAlign w:val="center"/>
          </w:tcPr>
          <w:p>
            <w:pPr>
              <w:keepNext w:val="0"/>
              <w:keepLines/>
              <w:pageBreakBefore w:val="0"/>
              <w:widowControl w:val="1"/>
              <w:spacing w:before="0" w:after="60"/>
              <w:jc w:val="center"/>
            </w:pPr>
            <w:r>
              <w:rPr>
                <w:rFonts w:ascii="Calibri" w:hAnsi="Calibri" w:cs="Calibri" w:eastAsia="Calibri"/>
                <w:b/>
                <w:i w:val="0"/>
                <w:color w:val="0C2340"/>
                <w:sz w:val="18"/>
                <w:u w:val="none"/>
              </w:rPr>
              <w:t>Listings, days on market and absorption</w:t>
            </w:r>
          </w:p>
          <w:p>
            <w:pPr>
              <w:keepNext w:val="0"/>
              <w:keepLines/>
              <w:pageBreakBefore w:val="0"/>
              <w:widowControl w:val="1"/>
              <w:spacing w:before="0" w:after="60"/>
              <w:jc w:val="center"/>
            </w:pPr>
            <w:r>
              <w:rPr>
                <w:rFonts w:ascii="Calibri" w:hAnsi="Calibri" w:cs="Calibri" w:eastAsia="Calibri"/>
                <w:b/>
                <w:i w:val="0"/>
                <w:caps w:val="1"/>
                <w:color w:val="12B0CE"/>
                <w:spacing w:val="36"/>
                <w:sz w:val="15"/>
                <w:u w:val="none"/>
              </w:rPr>
              <w:t>[  COMBINATION CHART  ]</w:t>
            </w:r>
          </w:p>
          <w:p>
            <w:pPr>
              <w:keepNext/>
              <w:keepLines/>
              <w:pageBreakBefore w:val="0"/>
              <w:widowControl w:val="1"/>
              <w:spacing w:before="0" w:after="0"/>
              <w:jc w:val="center"/>
            </w:pPr>
            <w:r>
              <w:rPr>
                <w:rFonts w:ascii="Calibri" w:hAnsi="Calibri" w:cs="Calibri" w:eastAsia="Calibri"/>
                <w:b w:val="0"/>
                <w:i w:val="0"/>
                <w:color w:val="8493A8"/>
                <w:sz w:val="14"/>
                <w:u w:val="none"/>
              </w:rPr>
              <w:t>{{suburb.supplyDemand}}</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Rolling three-month   ·   Source: Listing data   ·   Alt text: Listing volumes fell 31% over three years while days on market fell from 42 to 26</w:t>
      </w:r>
    </w:p>
    <w:p>
      <w:pPr>
        <w:keepNext w:val="0"/>
        <w:keepLines/>
        <w:pageBreakBefore w:val="0"/>
        <w:widowControl w:val="1"/>
        <w:spacing w:before="0" w:after="0" w:line="108"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Days on market by year</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26"/>
        <w:gridCol w:w="5651"/>
        <w:gridCol w:w="1615"/>
      </w:tblGrid>
      <w:tr>
        <w:trPr>
          <w:cantSplit/>
          <w:trHeight w:val="420" w:hRule="atLeast"/>
        </w:trPr>
        <w:tc>
          <w:tcPr>
            <w:tcW w:type="dxa" w:w="2826"/>
            <w:tcBorders>
              <w:top w:val="nil"/>
              <w:left w:val="nil"/>
              <w:bottom w:val="single" w:sz="4" w:space="0" w:color="DCE3ED"/>
              <w:right w:val="nil"/>
            </w:tcBorders>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FY2022</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4654"/>
              <w:gridCol w:w="997"/>
            </w:tblGrid>
            <w:tr>
              <w:trPr>
                <w:cantSplit/>
              </w:trPr>
              <w:tc>
                <w:tcPr>
                  <w:tcW w:type="dxa" w:w="4654"/>
                  <w:shd w:val="clear" w:color="auto" w:fill="0C234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997"/>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95" w:type="dxa"/>
              <w:left w:w="133" w:type="dxa"/>
              <w:bottom w:w="95" w:type="dxa"/>
              <w:right w:w="133" w:type="dxa"/>
            </w:tcMar>
            <w:vAlign w:val="center"/>
          </w:tcPr>
          <w:p>
            <w:pPr>
              <w:keepNext/>
              <w:keepLines/>
              <w:pageBreakBefore w:val="0"/>
              <w:widowControl w:val="1"/>
              <w:spacing w:before="0" w:after="0"/>
              <w:jc w:val="right"/>
            </w:pPr>
            <w:r>
              <w:rPr>
                <w:rFonts w:ascii="Calibri" w:hAnsi="Calibri" w:cs="Calibri" w:eastAsia="Calibri"/>
                <w:b/>
                <w:i w:val="0"/>
                <w:color w:val="0C2340"/>
                <w:sz w:val="17"/>
                <w:u w:val="none"/>
              </w:rPr>
              <w:t>42 days</w:t>
            </w:r>
          </w:p>
        </w:tc>
      </w:tr>
      <w:tr>
        <w:trPr>
          <w:cantSplit/>
          <w:trHeight w:val="420" w:hRule="atLeast"/>
        </w:trPr>
        <w:tc>
          <w:tcPr>
            <w:tcW w:type="dxa" w:w="2826"/>
            <w:tcBorders>
              <w:top w:val="nil"/>
              <w:left w:val="nil"/>
              <w:bottom w:val="single" w:sz="4" w:space="0" w:color="DCE3ED"/>
              <w:right w:val="nil"/>
            </w:tcBorders>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FY2023</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34"/>
            </w:tblGrid>
            <w:tr>
              <w:trPr>
                <w:cantSplit/>
              </w:trPr>
              <w:tc>
                <w:tcPr>
                  <w:tcW w:type="dxa" w:w="5651"/>
                  <w:shd w:val="clear" w:color="auto" w:fill="1D6FE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34"/>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95" w:type="dxa"/>
              <w:left w:w="133" w:type="dxa"/>
              <w:bottom w:w="95" w:type="dxa"/>
              <w:right w:w="133" w:type="dxa"/>
            </w:tcMar>
            <w:vAlign w:val="center"/>
          </w:tcPr>
          <w:p>
            <w:pPr>
              <w:keepNext/>
              <w:keepLines/>
              <w:pageBreakBefore w:val="0"/>
              <w:widowControl w:val="1"/>
              <w:spacing w:before="0" w:after="0"/>
              <w:jc w:val="right"/>
            </w:pPr>
            <w:r>
              <w:rPr>
                <w:rFonts w:ascii="Calibri" w:hAnsi="Calibri" w:cs="Calibri" w:eastAsia="Calibri"/>
                <w:b/>
                <w:i w:val="0"/>
                <w:color w:val="0C2340"/>
                <w:sz w:val="17"/>
                <w:u w:val="none"/>
              </w:rPr>
              <w:t>51 days</w:t>
            </w:r>
          </w:p>
        </w:tc>
      </w:tr>
      <w:tr>
        <w:trPr>
          <w:cantSplit/>
          <w:trHeight w:val="420" w:hRule="atLeast"/>
        </w:trPr>
        <w:tc>
          <w:tcPr>
            <w:tcW w:type="dxa" w:w="2826"/>
            <w:tcBorders>
              <w:top w:val="nil"/>
              <w:left w:val="nil"/>
              <w:bottom w:val="single" w:sz="4" w:space="0" w:color="DCE3ED"/>
              <w:right w:val="nil"/>
            </w:tcBorders>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FY2024</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3767"/>
              <w:gridCol w:w="1884"/>
            </w:tblGrid>
            <w:tr>
              <w:trPr>
                <w:cantSplit/>
              </w:trPr>
              <w:tc>
                <w:tcPr>
                  <w:tcW w:type="dxa" w:w="3767"/>
                  <w:shd w:val="clear" w:color="auto" w:fill="12B0CE"/>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1884"/>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95" w:type="dxa"/>
              <w:left w:w="133" w:type="dxa"/>
              <w:bottom w:w="95" w:type="dxa"/>
              <w:right w:w="133" w:type="dxa"/>
            </w:tcMar>
            <w:vAlign w:val="center"/>
          </w:tcPr>
          <w:p>
            <w:pPr>
              <w:keepNext/>
              <w:keepLines/>
              <w:pageBreakBefore w:val="0"/>
              <w:widowControl w:val="1"/>
              <w:spacing w:before="0" w:after="0"/>
              <w:jc w:val="right"/>
            </w:pPr>
            <w:r>
              <w:rPr>
                <w:rFonts w:ascii="Calibri" w:hAnsi="Calibri" w:cs="Calibri" w:eastAsia="Calibri"/>
                <w:b/>
                <w:i w:val="0"/>
                <w:color w:val="0C2340"/>
                <w:sz w:val="17"/>
                <w:u w:val="none"/>
              </w:rPr>
              <w:t>34 days</w:t>
            </w:r>
          </w:p>
        </w:tc>
      </w:tr>
      <w:tr>
        <w:trPr>
          <w:cantSplit/>
          <w:trHeight w:val="420" w:hRule="atLeast"/>
        </w:trPr>
        <w:tc>
          <w:tcPr>
            <w:tcW w:type="dxa" w:w="2826"/>
            <w:tcBorders>
              <w:top w:val="nil"/>
              <w:left w:val="nil"/>
              <w:bottom w:val="single" w:sz="4" w:space="0" w:color="DCE3ED"/>
              <w:right w:val="nil"/>
            </w:tcBorders>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FY2025</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3213"/>
              <w:gridCol w:w="2438"/>
            </w:tblGrid>
            <w:tr>
              <w:trPr>
                <w:cantSplit/>
              </w:trPr>
              <w:tc>
                <w:tcPr>
                  <w:tcW w:type="dxa" w:w="3213"/>
                  <w:shd w:val="clear" w:color="auto" w:fill="5B96EB"/>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2438"/>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95" w:type="dxa"/>
              <w:left w:w="133" w:type="dxa"/>
              <w:bottom w:w="95" w:type="dxa"/>
              <w:right w:w="133" w:type="dxa"/>
            </w:tcMar>
            <w:vAlign w:val="center"/>
          </w:tcPr>
          <w:p>
            <w:pPr>
              <w:keepNext/>
              <w:keepLines/>
              <w:pageBreakBefore w:val="0"/>
              <w:widowControl w:val="1"/>
              <w:spacing w:before="0" w:after="0"/>
              <w:jc w:val="right"/>
            </w:pPr>
            <w:r>
              <w:rPr>
                <w:rFonts w:ascii="Calibri" w:hAnsi="Calibri" w:cs="Calibri" w:eastAsia="Calibri"/>
                <w:b/>
                <w:i w:val="0"/>
                <w:color w:val="0C2340"/>
                <w:sz w:val="17"/>
                <w:u w:val="none"/>
              </w:rPr>
              <w:t>29 days</w:t>
            </w:r>
          </w:p>
        </w:tc>
      </w:tr>
      <w:tr>
        <w:trPr>
          <w:cantSplit/>
          <w:trHeight w:val="420" w:hRule="atLeast"/>
        </w:trPr>
        <w:tc>
          <w:tcPr>
            <w:tcW w:type="dxa" w:w="2826"/>
            <w:tcBorders>
              <w:top w:val="nil"/>
              <w:left w:val="nil"/>
              <w:bottom w:val="single" w:sz="4" w:space="0" w:color="DCE3ED"/>
              <w:right w:val="nil"/>
            </w:tcBorders>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FY2026</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2881"/>
              <w:gridCol w:w="2770"/>
            </w:tblGrid>
            <w:tr>
              <w:trPr>
                <w:cantSplit/>
              </w:trPr>
              <w:tc>
                <w:tcPr>
                  <w:tcW w:type="dxa" w:w="2881"/>
                  <w:shd w:val="clear" w:color="auto" w:fill="0E8AA3"/>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2770"/>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95" w:type="dxa"/>
              <w:left w:w="133" w:type="dxa"/>
              <w:bottom w:w="95" w:type="dxa"/>
              <w:right w:w="133" w:type="dxa"/>
            </w:tcMar>
            <w:vAlign w:val="center"/>
          </w:tcPr>
          <w:p>
            <w:pPr>
              <w:keepNext/>
              <w:keepLines/>
              <w:pageBreakBefore w:val="0"/>
              <w:widowControl w:val="1"/>
              <w:spacing w:before="0" w:after="0"/>
              <w:jc w:val="right"/>
            </w:pPr>
            <w:r>
              <w:rPr>
                <w:rFonts w:ascii="Calibri" w:hAnsi="Calibri" w:cs="Calibri" w:eastAsia="Calibri"/>
                <w:b/>
                <w:i w:val="0"/>
                <w:color w:val="0C2340"/>
                <w:sz w:val="17"/>
                <w:u w:val="none"/>
              </w:rPr>
              <w:t>26 days</w:t>
            </w:r>
          </w:p>
        </w:tc>
      </w:tr>
    </w:tbl>
    <w:p>
      <w:pPr>
        <w:keepNext w:val="0"/>
        <w:keepLines/>
        <w:pageBreakBefore w:val="0"/>
        <w:widowControl w:val="1"/>
        <w:spacing w:before="80" w:after="0"/>
      </w:pPr>
      <w:r>
        <w:rPr>
          <w:rFonts w:ascii="Calibri" w:hAnsi="Calibri" w:cs="Calibri" w:eastAsia="Calibri"/>
          <w:b w:val="0"/>
          <w:i/>
          <w:color w:val="8493A8"/>
          <w:sz w:val="14"/>
          <w:u w:val="none"/>
        </w:rPr>
        <w:t>Shorter days on market with falling listing volume indicates demand outstripping supply rather than improving marketing.</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05</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Demographics</w:t>
            </w:r>
          </w:p>
          <w:p>
            <w:pPr>
              <w:keepNext/>
              <w:keepLines/>
              <w:pageBreakBefore w:val="0"/>
              <w:widowControl w:val="1"/>
              <w:spacing w:before="0" w:after="0"/>
            </w:pPr>
            <w:r>
              <w:rPr>
                <w:rFonts w:ascii="Calibri" w:hAnsi="Calibri" w:cs="Calibri" w:eastAsia="Calibri"/>
                <w:b w:val="0"/>
                <w:i w:val="0"/>
                <w:caps w:val="1"/>
                <w:color w:val="12B0CE"/>
                <w:spacing w:val="22"/>
                <w:sz w:val="14"/>
                <w:u w:val="none"/>
              </w:rPr>
              <w:t>Who lives here</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Demographic profile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emographic profile"/>
        <w:tblDescription w:val="Columns: Measure, Suburb, Greater metro, Read"/>
      </w:tblPr>
      <w:tblGrid>
        <w:gridCol w:w="2948"/>
        <w:gridCol w:w="1701"/>
        <w:gridCol w:w="1928"/>
        <w:gridCol w:w="3515"/>
      </w:tblGrid>
      <w:tr>
        <w:trPr>
          <w:cantSplit/>
          <w:trHeight w:val="420" w:hRule="atLeast"/>
          <w:tblHeader/>
        </w:trPr>
        <w:tc>
          <w:tcPr>
            <w:tcW w:type="dxa" w:w="294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Measure</w:t>
            </w:r>
          </w:p>
        </w:tc>
        <w:tc>
          <w:tcPr>
            <w:tcW w:type="dxa" w:w="1701"/>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Suburb</w:t>
            </w:r>
          </w:p>
        </w:tc>
        <w:tc>
          <w:tcPr>
            <w:tcW w:type="dxa" w:w="192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Greater metro</w:t>
            </w:r>
          </w:p>
        </w:tc>
        <w:tc>
          <w:tcPr>
            <w:tcW w:type="dxa" w:w="3515"/>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Read</w:t>
            </w:r>
          </w:p>
        </w:tc>
      </w:tr>
      <w:tr>
        <w:trPr>
          <w:cantSplit/>
          <w:trHeight w:val="397" w:hRule="atLeast"/>
        </w:trPr>
        <w:tc>
          <w:tcPr>
            <w:tcW w:type="dxa" w:w="294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Population</w:t>
            </w:r>
          </w:p>
        </w:tc>
        <w:tc>
          <w:tcPr>
            <w:tcW w:type="dxa" w:w="170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5,940</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351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Stable; +1.2% over five years</w:t>
            </w:r>
          </w:p>
        </w:tc>
      </w:tr>
      <w:tr>
        <w:trPr>
          <w:cantSplit/>
          <w:trHeight w:val="397" w:hRule="atLeast"/>
        </w:trPr>
        <w:tc>
          <w:tcPr>
            <w:tcW w:type="dxa" w:w="294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Median age</w:t>
            </w:r>
          </w:p>
        </w:tc>
        <w:tc>
          <w:tcPr>
            <w:tcW w:type="dxa" w:w="170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42</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37</w:t>
            </w:r>
          </w:p>
        </w:tc>
        <w:tc>
          <w:tcPr>
            <w:tcW w:type="dxa" w:w="351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Established households</w:t>
            </w:r>
          </w:p>
        </w:tc>
      </w:tr>
      <w:tr>
        <w:trPr>
          <w:cantSplit/>
          <w:trHeight w:val="397" w:hRule="atLeast"/>
        </w:trPr>
        <w:tc>
          <w:tcPr>
            <w:tcW w:type="dxa" w:w="294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Median household income</w:t>
            </w:r>
          </w:p>
        </w:tc>
        <w:tc>
          <w:tcPr>
            <w:tcW w:type="dxa" w:w="170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$3,410/wk</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$2,180/wk</w:t>
            </w:r>
          </w:p>
        </w:tc>
        <w:tc>
          <w:tcPr>
            <w:tcW w:type="dxa" w:w="351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High income base</w:t>
            </w:r>
          </w:p>
        </w:tc>
      </w:tr>
      <w:tr>
        <w:trPr>
          <w:cantSplit/>
          <w:trHeight w:val="397" w:hRule="atLeast"/>
        </w:trPr>
        <w:tc>
          <w:tcPr>
            <w:tcW w:type="dxa" w:w="294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Owner-occupied</w:t>
            </w:r>
          </w:p>
        </w:tc>
        <w:tc>
          <w:tcPr>
            <w:tcW w:type="dxa" w:w="170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71%</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58%</w:t>
            </w:r>
          </w:p>
        </w:tc>
        <w:tc>
          <w:tcPr>
            <w:tcW w:type="dxa" w:w="351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Shallow rental market</w:t>
            </w:r>
          </w:p>
        </w:tc>
      </w:tr>
      <w:tr>
        <w:trPr>
          <w:cantSplit/>
          <w:trHeight w:val="397" w:hRule="atLeast"/>
        </w:trPr>
        <w:tc>
          <w:tcPr>
            <w:tcW w:type="dxa" w:w="294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Rented</w:t>
            </w:r>
          </w:p>
        </w:tc>
        <w:tc>
          <w:tcPr>
            <w:tcW w:type="dxa" w:w="170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24%</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36%</w:t>
            </w:r>
          </w:p>
        </w:tc>
        <w:tc>
          <w:tcPr>
            <w:tcW w:type="dxa" w:w="351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Limited tenant pool</w:t>
            </w:r>
          </w:p>
        </w:tc>
      </w:tr>
      <w:tr>
        <w:trPr>
          <w:cantSplit/>
          <w:trHeight w:val="397" w:hRule="atLeast"/>
        </w:trPr>
        <w:tc>
          <w:tcPr>
            <w:tcW w:type="dxa" w:w="294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Family households</w:t>
            </w:r>
          </w:p>
        </w:tc>
        <w:tc>
          <w:tcPr>
            <w:tcW w:type="dxa" w:w="170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78%</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66%</w:t>
            </w:r>
          </w:p>
        </w:tc>
        <w:tc>
          <w:tcPr>
            <w:tcW w:type="dxa" w:w="351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Schools drive demand</w:t>
            </w:r>
          </w:p>
        </w:tc>
      </w:tr>
      <w:tr>
        <w:trPr>
          <w:cantSplit/>
          <w:trHeight w:val="397" w:hRule="atLeast"/>
        </w:trPr>
        <w:tc>
          <w:tcPr>
            <w:tcW w:type="dxa" w:w="294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Dwellings — separate house</w:t>
            </w:r>
          </w:p>
        </w:tc>
        <w:tc>
          <w:tcPr>
            <w:tcW w:type="dxa" w:w="170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84%</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56%</w:t>
            </w:r>
          </w:p>
        </w:tc>
        <w:tc>
          <w:tcPr>
            <w:tcW w:type="dxa" w:w="351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Little unit stock</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Infrastructure &amp; amenity — committed and proposed</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454"/>
        <w:gridCol w:w="7620"/>
      </w:tblGrid>
      <w:tr>
        <w:trPr>
          <w:cantSplit/>
          <w:trHeight w:val="567" w:hRule="atLeast"/>
        </w:trPr>
        <w:tc>
          <w:tcPr>
            <w:tcW w:type="dxa" w:w="2018"/>
            <w:tcMar>
              <w:top w:w="95" w:type="dxa"/>
              <w:left w:w="133" w:type="dxa"/>
              <w:bottom w:w="95" w:type="dxa"/>
              <w:right w:w="13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2027</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5" w:type="dxa"/>
              <w:left w:w="133" w:type="dxa"/>
              <w:bottom w:w="95" w:type="dxa"/>
              <w:right w:w="13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Primary school hall and library</w:t>
            </w:r>
          </w:p>
          <w:p>
            <w:pPr>
              <w:keepNext w:val="0"/>
              <w:keepLines/>
              <w:pageBreakBefore w:val="0"/>
              <w:widowControl w:val="1"/>
              <w:spacing w:before="0" w:after="0" w:line="293" w:lineRule="auto"/>
            </w:pPr>
            <w:r>
              <w:rPr>
                <w:rFonts w:ascii="Calibri" w:hAnsi="Calibri" w:cs="Calibri" w:eastAsia="Calibri"/>
                <w:b w:val="0"/>
                <w:i w:val="0"/>
                <w:color w:val="4C5B73"/>
                <w:sz w:val="17"/>
                <w:u w:val="none"/>
              </w:rPr>
              <w:t>Committed; $14m, funded</w:t>
            </w:r>
          </w:p>
        </w:tc>
      </w:tr>
      <w:tr>
        <w:trPr>
          <w:cantSplit/>
          <w:trHeight w:val="567" w:hRule="atLeast"/>
        </w:trPr>
        <w:tc>
          <w:tcPr>
            <w:tcW w:type="dxa" w:w="2018"/>
            <w:tcMar>
              <w:top w:w="95" w:type="dxa"/>
              <w:left w:w="133" w:type="dxa"/>
              <w:bottom w:w="95" w:type="dxa"/>
              <w:right w:w="13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2028</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5" w:type="dxa"/>
              <w:left w:w="133" w:type="dxa"/>
              <w:bottom w:w="95" w:type="dxa"/>
              <w:right w:w="13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Arterial road upgrade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Committed; adds a lane each way</w:t>
            </w:r>
          </w:p>
        </w:tc>
      </w:tr>
      <w:tr>
        <w:trPr>
          <w:cantSplit/>
          <w:trHeight w:val="567" w:hRule="atLeast"/>
        </w:trPr>
        <w:tc>
          <w:tcPr>
            <w:tcW w:type="dxa" w:w="2018"/>
            <w:tcMar>
              <w:top w:w="95" w:type="dxa"/>
              <w:left w:w="133" w:type="dxa"/>
              <w:bottom w:w="95" w:type="dxa"/>
              <w:right w:w="13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2029</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5" w:type="dxa"/>
              <w:left w:w="133" w:type="dxa"/>
              <w:bottom w:w="95" w:type="dxa"/>
              <w:right w:w="13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Retail precinct redevelopment</w:t>
            </w:r>
          </w:p>
          <w:p>
            <w:pPr>
              <w:keepNext w:val="0"/>
              <w:keepLines/>
              <w:pageBreakBefore w:val="0"/>
              <w:widowControl w:val="1"/>
              <w:spacing w:before="0" w:after="0" w:line="293" w:lineRule="auto"/>
            </w:pPr>
            <w:r>
              <w:rPr>
                <w:rFonts w:ascii="Calibri" w:hAnsi="Calibri" w:cs="Calibri" w:eastAsia="Calibri"/>
                <w:b w:val="0"/>
                <w:i w:val="0"/>
                <w:color w:val="4C5B73"/>
                <w:sz w:val="17"/>
                <w:u w:val="none"/>
              </w:rPr>
              <w:t>Proposed; DA not lodged</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06</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Location map</w:t>
            </w:r>
          </w:p>
          <w:p>
            <w:pPr>
              <w:keepNext/>
              <w:keepLines/>
              <w:pageBreakBefore w:val="0"/>
              <w:widowControl w:val="1"/>
              <w:spacing w:before="0" w:after="0"/>
            </w:pPr>
            <w:r>
              <w:rPr>
                <w:rFonts w:ascii="Calibri" w:hAnsi="Calibri" w:cs="Calibri" w:eastAsia="Calibri"/>
                <w:b w:val="0"/>
                <w:i w:val="0"/>
                <w:caps w:val="1"/>
                <w:color w:val="12B0CE"/>
                <w:spacing w:val="22"/>
                <w:sz w:val="14"/>
                <w:u w:val="none"/>
              </w:rPr>
              <w:t>The catchment</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3855" w:hRule="atLeast"/>
        </w:trPr>
        <w:tc>
          <w:tcPr>
            <w:tcW w:type="dxa" w:w="10091"/>
            <w:shd w:val="clear" w:color="auto" w:fill="EDF1F7"/>
            <w:tcMar>
              <w:top w:w="120" w:type="dxa"/>
              <w:left w:w="140" w:type="dxa"/>
              <w:bottom w:w="120" w:type="dxa"/>
              <w:right w:w="140" w:type="dxa"/>
            </w:tcMar>
            <w:vAlign w:val="center"/>
          </w:tcPr>
          <w:p>
            <w:pPr>
              <w:keepNext/>
              <w:keepLines/>
              <w:pageBreakBefore w:val="0"/>
              <w:widowControl w:val="1"/>
              <w:spacing w:before="0" w:after="0"/>
              <w:jc w:val="center"/>
            </w:pPr>
            <w:r>
              <w:rPr>
                <w:rFonts w:ascii="Calibri" w:hAnsi="Calibri" w:cs="Calibri" w:eastAsia="Calibri"/>
                <w:b/>
                <w:i w:val="0"/>
                <w:caps w:val="1"/>
                <w:color w:val="8493A8"/>
                <w:spacing w:val="32"/>
                <w:sz w:val="15"/>
                <w:u w:val="none"/>
              </w:rPr>
              <w:t>[  SUBURB AND CATCHMENT MAP  ]</w:t>
            </w:r>
          </w:p>
        </w:tc>
      </w:tr>
    </w:tbl>
    <w:p>
      <w:pPr>
        <w:keepNext w:val="0"/>
        <w:keepLines/>
        <w:pageBreakBefore w:val="0"/>
        <w:widowControl w:val="1"/>
        <w:spacing w:before="60" w:after="0" w:line="293" w:lineRule="auto"/>
      </w:pPr>
      <w:r>
        <w:rPr>
          <w:rFonts w:ascii="Calibri" w:hAnsi="Calibri" w:cs="Calibri" w:eastAsia="Calibri"/>
          <w:b w:val="0"/>
          <w:i/>
          <w:color w:val="8493A8"/>
          <w:sz w:val="14"/>
          <w:u w:val="none"/>
        </w:rPr>
        <w:t>Alt text: Map showing the suburb boundary, rail, schools and the employment centre</w:t>
      </w:r>
    </w:p>
    <w:p>
      <w:pPr>
        <w:keepNext w:val="0"/>
        <w:keepLines/>
        <w:pageBreakBefore w:val="0"/>
        <w:widowControl w:val="1"/>
        <w:spacing w:before="0" w:after="0" w:line="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2018"/>
        <w:gridCol w:w="2018"/>
        <w:gridCol w:w="2018"/>
        <w:gridCol w:w="2018"/>
      </w:tblGrid>
      <w:tr>
        <w:trPr>
          <w:cantSplit/>
        </w:trPr>
        <w:tc>
          <w:tcPr>
            <w:tcW w:type="dxa" w:w="2018"/>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0C2340"/>
                <w:sz w:val="17"/>
                <w:u w:val="none"/>
              </w:rPr>
              <w:t xml:space="preserve">▬  </w:t>
            </w:r>
            <w:r>
              <w:rPr>
                <w:rFonts w:ascii="Calibri" w:hAnsi="Calibri" w:cs="Calibri" w:eastAsia="Calibri"/>
                <w:b w:val="0"/>
                <w:i w:val="0"/>
                <w:color w:val="4C5B73"/>
                <w:sz w:val="14"/>
                <w:u w:val="none"/>
              </w:rPr>
              <w:t>Suburb boundary</w:t>
            </w:r>
          </w:p>
        </w:tc>
        <w:tc>
          <w:tcPr>
            <w:tcW w:type="dxa" w:w="2018"/>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1D6FE0"/>
                <w:sz w:val="17"/>
                <w:u w:val="none"/>
              </w:rPr>
              <w:t xml:space="preserve">▲  </w:t>
            </w:r>
            <w:r>
              <w:rPr>
                <w:rFonts w:ascii="Calibri" w:hAnsi="Calibri" w:cs="Calibri" w:eastAsia="Calibri"/>
                <w:b w:val="0"/>
                <w:i w:val="0"/>
                <w:color w:val="4C5B73"/>
                <w:sz w:val="14"/>
                <w:u w:val="none"/>
              </w:rPr>
              <w:t>Rail</w:t>
            </w:r>
          </w:p>
        </w:tc>
        <w:tc>
          <w:tcPr>
            <w:tcW w:type="dxa" w:w="2018"/>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12B0CE"/>
                <w:sz w:val="17"/>
                <w:u w:val="none"/>
              </w:rPr>
              <w:t xml:space="preserve">■  </w:t>
            </w:r>
            <w:r>
              <w:rPr>
                <w:rFonts w:ascii="Calibri" w:hAnsi="Calibri" w:cs="Calibri" w:eastAsia="Calibri"/>
                <w:b w:val="0"/>
                <w:i w:val="0"/>
                <w:color w:val="4C5B73"/>
                <w:sz w:val="14"/>
                <w:u w:val="none"/>
              </w:rPr>
              <w:t>Schools</w:t>
            </w:r>
          </w:p>
        </w:tc>
        <w:tc>
          <w:tcPr>
            <w:tcW w:type="dxa" w:w="2018"/>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5B96EB"/>
                <w:sz w:val="17"/>
                <w:u w:val="none"/>
              </w:rPr>
              <w:t xml:space="preserve">◆  </w:t>
            </w:r>
            <w:r>
              <w:rPr>
                <w:rFonts w:ascii="Calibri" w:hAnsi="Calibri" w:cs="Calibri" w:eastAsia="Calibri"/>
                <w:b w:val="0"/>
                <w:i w:val="0"/>
                <w:color w:val="4C5B73"/>
                <w:sz w:val="14"/>
                <w:u w:val="none"/>
              </w:rPr>
              <w:t>Retail</w:t>
            </w:r>
          </w:p>
        </w:tc>
        <w:tc>
          <w:tcPr>
            <w:tcW w:type="dxa" w:w="2018"/>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0E8AA3"/>
                <w:sz w:val="17"/>
                <w:u w:val="none"/>
              </w:rPr>
              <w:t xml:space="preserve">●  </w:t>
            </w:r>
            <w:r>
              <w:rPr>
                <w:rFonts w:ascii="Calibri" w:hAnsi="Calibri" w:cs="Calibri" w:eastAsia="Calibri"/>
                <w:b w:val="0"/>
                <w:i w:val="0"/>
                <w:color w:val="4C5B73"/>
                <w:sz w:val="14"/>
                <w:u w:val="none"/>
              </w:rPr>
              <w:t>Employment</w:t>
            </w:r>
          </w:p>
        </w:tc>
      </w:tr>
    </w:tbl>
    <w:p>
      <w:pPr>
        <w:keepNext w:val="0"/>
        <w:keepLines/>
        <w:pageBreakBefore w:val="0"/>
        <w:widowControl w:val="1"/>
        <w:spacing w:before="0" w:after="0" w:line="126"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Comparable suburbs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mparable suburbs"/>
        <w:tblDescription w:val="Compares: Northbridge, Willoughby, Naremburn"/>
      </w:tblPr>
      <w:tblGrid>
        <w:gridCol w:w="2624"/>
        <w:gridCol w:w="2489"/>
        <w:gridCol w:w="2489"/>
        <w:gridCol w:w="2489"/>
      </w:tblGrid>
      <w:tr>
        <w:trPr>
          <w:cantSplit/>
          <w:trHeight w:val="510" w:hRule="atLeast"/>
          <w:tblHeader/>
        </w:trPr>
        <w:tc>
          <w:tcPr>
            <w:tcW w:type="dxa" w:w="2624"/>
            <w:tcBorders>
              <w:top w:val="nil"/>
              <w:left w:val="nil"/>
              <w:bottom w:val="single" w:sz="8" w:space="0" w:color="12B0CE"/>
              <w:right w:val="single" w:sz="16" w:space="0" w:color="FFFFFF"/>
            </w:tcBorders>
            <w:shd w:val="clear" w:color="auto" w:fill="0C2340"/>
            <w:tcMar>
              <w:top w:w="95" w:type="dxa"/>
              <w:left w:w="133" w:type="dxa"/>
              <w:bottom w:w="95" w:type="dxa"/>
              <w:right w:w="133" w:type="dxa"/>
            </w:tcMar>
            <w:vAlign w:val="center"/>
          </w:tcPr>
          <w:p>
            <w:pPr>
              <w:keepNext w:val="0"/>
              <w:keepLines/>
              <w:pageBreakBefore w:val="0"/>
              <w:widowControl w:val="1"/>
              <w:spacing w:before="0" w:after="0" w:line="274" w:lineRule="auto"/>
            </w:pPr>
          </w:p>
        </w:tc>
        <w:tc>
          <w:tcPr>
            <w:tcW w:type="dxa" w:w="2489"/>
            <w:tcBorders>
              <w:top w:val="nil"/>
              <w:left w:val="nil"/>
              <w:bottom w:val="single" w:sz="8" w:space="0" w:color="12B0CE"/>
              <w:right w:val="single" w:sz="16" w:space="0" w:color="FFFFFF"/>
            </w:tcBorders>
            <w:shd w:val="clear" w:color="auto" w:fill="12B0CE"/>
            <w:tcMar>
              <w:top w:w="95" w:type="dxa"/>
              <w:left w:w="133" w:type="dxa"/>
              <w:bottom w:w="95" w:type="dxa"/>
              <w:right w:w="13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Northbridge</w:t>
            </w:r>
          </w:p>
        </w:tc>
        <w:tc>
          <w:tcPr>
            <w:tcW w:type="dxa" w:w="2489"/>
            <w:tcBorders>
              <w:top w:val="nil"/>
              <w:left w:val="nil"/>
              <w:bottom w:val="single" w:sz="8" w:space="0" w:color="12B0CE"/>
              <w:right w:val="single" w:sz="16" w:space="0" w:color="FFFFFF"/>
            </w:tcBorders>
            <w:shd w:val="clear" w:color="auto" w:fill="0C2340"/>
            <w:tcMar>
              <w:top w:w="95" w:type="dxa"/>
              <w:left w:w="133" w:type="dxa"/>
              <w:bottom w:w="95" w:type="dxa"/>
              <w:right w:w="13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Willoughby</w:t>
            </w:r>
          </w:p>
        </w:tc>
        <w:tc>
          <w:tcPr>
            <w:tcW w:type="dxa" w:w="2489"/>
            <w:tcBorders>
              <w:top w:val="nil"/>
              <w:left w:val="nil"/>
              <w:bottom w:val="single" w:sz="8" w:space="0" w:color="12B0CE"/>
              <w:right w:val="nil"/>
            </w:tcBorders>
            <w:shd w:val="clear" w:color="auto" w:fill="0C2340"/>
            <w:tcMar>
              <w:top w:w="95" w:type="dxa"/>
              <w:left w:w="133" w:type="dxa"/>
              <w:bottom w:w="95" w:type="dxa"/>
              <w:right w:w="13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Naremburn</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Median — house</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$1,842,000</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$2,410,000</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$2,180,000</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10-year growth p.a.</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6.1%</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5.6%</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5.9%</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Gross yield</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2.9%</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2.6%</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2.7%</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Vacancy</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1.1%</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1.4%</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1.2%</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Owner-occupied</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71%</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64%</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61%</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Annual sales</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41</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96</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72</w:t>
            </w:r>
          </w:p>
        </w:tc>
      </w:tr>
    </w:tbl>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07</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Outlook &amp; risks</w:t>
            </w:r>
          </w:p>
          <w:p>
            <w:pPr>
              <w:keepNext/>
              <w:keepLines/>
              <w:pageBreakBefore w:val="0"/>
              <w:widowControl w:val="1"/>
              <w:spacing w:before="0" w:after="0"/>
            </w:pPr>
            <w:r>
              <w:rPr>
                <w:rFonts w:ascii="Calibri" w:hAnsi="Calibri" w:cs="Calibri" w:eastAsia="Calibri"/>
                <w:b w:val="0"/>
                <w:i w:val="0"/>
                <w:caps w:val="1"/>
                <w:color w:val="12B0CE"/>
                <w:spacing w:val="22"/>
                <w:sz w:val="14"/>
                <w:u w:val="none"/>
              </w:rPr>
              <w:t>What could change the thesis</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28"/>
          <w:sz w:val="15"/>
          <w:u w:val="none"/>
        </w:rPr>
        <w:t>Outlook &amp; risks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Outlook &amp; risks"/>
        <w:tblDescription w:val="Columns: Risk, Severity, Mitigation"/>
      </w:tblPr>
      <w:tblGrid>
        <w:gridCol w:w="4037"/>
        <w:gridCol w:w="1413"/>
        <w:gridCol w:w="4642"/>
      </w:tblGrid>
      <w:tr>
        <w:trPr>
          <w:cantSplit/>
          <w:tblHeader/>
        </w:trPr>
        <w:tc>
          <w:tcPr>
            <w:tcW w:type="dxa" w:w="4037"/>
            <w:tcBorders>
              <w:top w:val="nil"/>
              <w:left w:val="nil"/>
              <w:bottom w:val="single" w:sz="8" w:space="0" w:color="12B0CE"/>
              <w:right w:val="nil"/>
            </w:tcBorders>
            <w:shd w:val="clear" w:color="auto" w:fill="0C2340"/>
            <w:tcMar>
              <w:top w:w="95" w:type="dxa"/>
              <w:left w:w="133" w:type="dxa"/>
              <w:bottom w:w="95" w:type="dxa"/>
              <w:right w:w="13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2B0CE"/>
              <w:right w:val="nil"/>
            </w:tcBorders>
            <w:shd w:val="clear" w:color="auto" w:fill="0C2340"/>
            <w:tcMar>
              <w:top w:w="95" w:type="dxa"/>
              <w:left w:w="133" w:type="dxa"/>
              <w:bottom w:w="95" w:type="dxa"/>
              <w:right w:w="13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2B0CE"/>
              <w:right w:val="nil"/>
            </w:tcBorders>
            <w:shd w:val="clear" w:color="auto" w:fill="0C2340"/>
            <w:tcMar>
              <w:top w:w="95" w:type="dxa"/>
              <w:left w:w="133" w:type="dxa"/>
              <w:bottom w:w="95" w:type="dxa"/>
              <w:right w:w="13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Yield compression continues as prices outrun rents</w:t>
            </w:r>
          </w:p>
        </w:tc>
        <w:tc>
          <w:tcPr>
            <w:tcW w:type="dxa" w:w="1413"/>
            <w:tcBorders>
              <w:top w:val="nil"/>
              <w:left w:val="nil"/>
              <w:bottom w:val="single" w:sz="4" w:space="0" w:color="DCE3ED"/>
              <w:right w:val="nil"/>
            </w:tcBorders>
            <w:shd w:val="clear" w:color="auto" w:fill="FBF1E0"/>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Already at 2.9%. A growth-weighted strategy tolerates this; a cash-flow strategy does not, and should look elsewhere.</w:t>
            </w:r>
          </w:p>
        </w:tc>
      </w:tr>
      <w:tr>
        <w:trPr>
          <w:cantSplit/>
        </w:trPr>
        <w:tc>
          <w:tcPr>
            <w:tcW w:type="dxa" w:w="403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Turnover under 2% means long search times</w:t>
            </w:r>
          </w:p>
        </w:tc>
        <w:tc>
          <w:tcPr>
            <w:tcW w:type="dxa" w:w="1413"/>
            <w:tcBorders>
              <w:top w:val="nil"/>
              <w:left w:val="nil"/>
              <w:bottom w:val="single" w:sz="4" w:space="0" w:color="DCE3ED"/>
              <w:right w:val="nil"/>
            </w:tcBorders>
            <w:shd w:val="clear" w:color="auto" w:fill="FBF1E0"/>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Budget six to twelve months. A retained search materially improves access to pre-market stock in a suburb this tightly held.</w:t>
            </w:r>
          </w:p>
        </w:tc>
      </w:tr>
      <w:tr>
        <w:trPr>
          <w:cantSplit/>
        </w:trPr>
        <w:tc>
          <w:tcPr>
            <w:tcW w:type="dxa" w:w="403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Planning controls are relaxed, adding supply</w:t>
            </w:r>
          </w:p>
        </w:tc>
        <w:tc>
          <w:tcPr>
            <w:tcW w:type="dxa" w:w="1413"/>
            <w:tcBorders>
              <w:top w:val="nil"/>
              <w:left w:val="nil"/>
              <w:bottom w:val="single" w:sz="4" w:space="0" w:color="DCE3ED"/>
              <w:right w:val="nil"/>
            </w:tcBorders>
            <w:shd w:val="clear" w:color="auto" w:fill="E6F6E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i w:val="0"/>
                <w:color w:val="0F8A5F"/>
                <w:sz w:val="17"/>
                <w:u w:val="none"/>
              </w:rPr>
              <w:t>▲  LOW</w:t>
            </w:r>
          </w:p>
        </w:tc>
        <w:tc>
          <w:tcPr>
            <w:tcW w:type="dxa" w:w="46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The 550m² minimum lot size has been unchanged for eleven years and the council has no draft amendment on exhibition. Monitor annually.</w:t>
            </w:r>
          </w:p>
        </w:tc>
      </w:tr>
      <w:tr>
        <w:trPr>
          <w:cantSplit/>
        </w:trPr>
        <w:tc>
          <w:tcPr>
            <w:tcW w:type="dxa" w:w="403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Interest rates stay higher for longer</w:t>
            </w:r>
          </w:p>
        </w:tc>
        <w:tc>
          <w:tcPr>
            <w:tcW w:type="dxa" w:w="1413"/>
            <w:tcBorders>
              <w:top w:val="nil"/>
              <w:left w:val="nil"/>
              <w:bottom w:val="single" w:sz="4" w:space="0" w:color="DCE3ED"/>
              <w:right w:val="nil"/>
            </w:tcBorders>
            <w:shd w:val="clear" w:color="auto" w:fill="FBF1E0"/>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 2.9% yield is highly sensitive to holding cost. Stress-test at +2% before committing.</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08</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Conclusion</w:t>
            </w:r>
          </w:p>
          <w:p>
            <w:pPr>
              <w:keepNext/>
              <w:keepLines/>
              <w:pageBreakBefore w:val="0"/>
              <w:widowControl w:val="1"/>
              <w:spacing w:before="0" w:after="0"/>
            </w:pPr>
            <w:r>
              <w:rPr>
                <w:rFonts w:ascii="Calibri" w:hAnsi="Calibri" w:cs="Calibri" w:eastAsia="Calibri"/>
                <w:b w:val="0"/>
                <w:i w:val="0"/>
                <w:caps w:val="1"/>
                <w:color w:val="12B0CE"/>
                <w:spacing w:val="22"/>
                <w:sz w:val="14"/>
                <w:u w:val="none"/>
              </w:rPr>
              <w:t>Invest, monitor or avoid</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2B0CE"/>
              <w:left w:val="single" w:sz="26" w:space="0" w:color="12B0CE"/>
              <w:bottom w:val="single" w:sz="6" w:space="0" w:color="12B0CE"/>
              <w:right w:val="single" w:sz="6" w:space="0" w:color="12B0CE"/>
            </w:tcBorders>
            <w:shd w:val="clear" w:color="auto" w:fill="EEFAFC"/>
            <w:tcMar>
              <w:top w:w="171" w:type="dxa"/>
              <w:left w:w="199" w:type="dxa"/>
              <w:bottom w:w="171" w:type="dxa"/>
              <w:right w:w="199" w:type="dxa"/>
            </w:tcMar>
          </w:tcPr>
          <w:p>
            <w:pPr>
              <w:keepNext/>
              <w:keepLines/>
              <w:pageBreakBefore w:val="0"/>
              <w:widowControl w:val="1"/>
              <w:spacing w:before="0" w:after="100"/>
            </w:pPr>
            <w:r>
              <w:rPr>
                <w:rFonts w:ascii="Calibri" w:hAnsi="Calibri" w:cs="Calibri" w:eastAsia="Calibri"/>
                <w:b/>
                <w:i w:val="0"/>
                <w:caps w:val="1"/>
                <w:color w:val="12B0CE"/>
                <w:spacing w:val="28"/>
                <w:sz w:val="15"/>
                <w:u w:val="none"/>
              </w:rPr>
              <w:t>CONCLUSION</w:t>
            </w:r>
            <w:r>
              <w:rPr>
                <w:rFonts w:ascii="Calibri" w:hAnsi="Calibri" w:cs="Calibri" w:eastAsia="Calibri"/>
                <w:b/>
                <w:i w:val="0"/>
                <w:caps w:val="1"/>
                <w:color w:val="4C5B73"/>
                <w:spacing w:val="24"/>
                <w:sz w:val="14"/>
                <w:u w:val="none"/>
              </w:rPr>
              <w:t xml:space="preserve">     CONFIDENCE: HIGH</w:t>
            </w:r>
          </w:p>
          <w:p>
            <w:pPr>
              <w:keepNext w:val="0"/>
              <w:keepLines/>
              <w:pageBreakBefore w:val="0"/>
              <w:widowControl w:val="1"/>
              <w:spacing w:before="0" w:after="120" w:line="298" w:lineRule="auto"/>
            </w:pPr>
            <w:r>
              <w:rPr>
                <w:rFonts w:ascii="Calibri" w:hAnsi="Calibri" w:cs="Calibri" w:eastAsia="Calibri"/>
                <w:b/>
                <w:i w:val="0"/>
                <w:color w:val="0C2340"/>
                <w:sz w:val="22"/>
                <w:u w:val="none"/>
              </w:rPr>
              <w:t>Invest — but only within a growth-weighted, long-hold strategy that does not require the asset to carry itself.</w:t>
            </w:r>
          </w:p>
          <w:p>
            <w:pPr>
              <w:keepNext w:val="0"/>
              <w:keepLines/>
              <w:pageBreakBefore w:val="0"/>
              <w:widowControl w:val="1"/>
              <w:spacing w:before="0" w:after="0" w:line="317" w:lineRule="auto"/>
            </w:pPr>
            <w:r>
              <w:rPr>
                <w:rFonts w:ascii="Calibri" w:hAnsi="Calibri" w:cs="Calibri" w:eastAsia="Calibri"/>
                <w:b w:val="0"/>
                <w:i w:val="0"/>
                <w:color w:val="10192A"/>
                <w:sz w:val="17"/>
                <w:u w:val="none"/>
              </w:rPr>
              <w:t>The supply constraint that produces the growth record is structural and unlikely to change under the current planning controls. That is a durable advantage. The corresponding yield of 2.9% is equally structural, and no amount of property selection within the suburb will fix it.</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Next steps</w:t>
            </w:r>
          </w:p>
          <w:p>
            <w:pPr>
              <w:keepNext w:val="0"/>
              <w:keepLines/>
              <w:pageBreakBefore w:val="0"/>
              <w:widowControl w:val="1"/>
              <w:tabs>
                <w:tab w:val="left" w:pos="320"/>
              </w:tabs>
              <w:spacing w:before="0" w:after="0" w:line="317" w:lineRule="auto"/>
              <w:ind w:left="320" w:hanging="320"/>
            </w:pPr>
            <w:r>
              <w:rPr>
                <w:rFonts w:ascii="Calibri" w:hAnsi="Calibri" w:cs="Calibri" w:eastAsia="Calibri"/>
                <w:b/>
                <w:i w:val="0"/>
                <w:color w:val="12B0CE"/>
                <w:sz w:val="19"/>
                <w:u w:val="none"/>
              </w:rPr>
              <w:t>1.</w:t>
            </w:r>
            <w:r>
              <w:rPr>
                <w:rFonts w:ascii="Calibri" w:hAnsi="Calibri" w:cs="Calibri" w:eastAsia="Calibri"/>
                <w:b w:val="0"/>
                <w:i w:val="0"/>
                <w:color w:val="10192A"/>
                <w:sz w:val="19"/>
                <w:u w:val="none"/>
              </w:rPr>
              <w:tab/>
              <w:t>Confirm you can fund a 2.9%-yield asset from other income.</w:t>
            </w:r>
          </w:p>
          <w:p>
            <w:pPr>
              <w:keepNext w:val="0"/>
              <w:keepLines/>
              <w:pageBreakBefore w:val="0"/>
              <w:widowControl w:val="1"/>
              <w:tabs>
                <w:tab w:val="left" w:pos="320"/>
              </w:tabs>
              <w:spacing w:before="80" w:after="0" w:line="317" w:lineRule="auto"/>
              <w:ind w:left="320" w:hanging="320"/>
            </w:pPr>
            <w:r>
              <w:rPr>
                <w:rFonts w:ascii="Calibri" w:hAnsi="Calibri" w:cs="Calibri" w:eastAsia="Calibri"/>
                <w:b/>
                <w:i w:val="0"/>
                <w:color w:val="12B0CE"/>
                <w:sz w:val="19"/>
                <w:u w:val="none"/>
              </w:rPr>
              <w:t>2.</w:t>
            </w:r>
            <w:r>
              <w:rPr>
                <w:rFonts w:ascii="Calibri" w:hAnsi="Calibri" w:cs="Calibri" w:eastAsia="Calibri"/>
                <w:b w:val="0"/>
                <w:i w:val="0"/>
                <w:color w:val="10192A"/>
                <w:sz w:val="19"/>
                <w:u w:val="none"/>
              </w:rPr>
              <w:tab/>
              <w:t>Stress-test the holding position at +2% on rates before proceeding.</w:t>
            </w:r>
          </w:p>
          <w:p>
            <w:pPr>
              <w:keepNext w:val="0"/>
              <w:keepLines/>
              <w:pageBreakBefore w:val="0"/>
              <w:widowControl w:val="1"/>
              <w:tabs>
                <w:tab w:val="left" w:pos="320"/>
              </w:tabs>
              <w:spacing w:before="80" w:after="0" w:line="317" w:lineRule="auto"/>
              <w:ind w:left="320" w:hanging="320"/>
            </w:pPr>
            <w:r>
              <w:rPr>
                <w:rFonts w:ascii="Calibri" w:hAnsi="Calibri" w:cs="Calibri" w:eastAsia="Calibri"/>
                <w:b/>
                <w:i w:val="0"/>
                <w:color w:val="12B0CE"/>
                <w:sz w:val="19"/>
                <w:u w:val="none"/>
              </w:rPr>
              <w:t>3.</w:t>
            </w:r>
            <w:r>
              <w:rPr>
                <w:rFonts w:ascii="Calibri" w:hAnsi="Calibri" w:cs="Calibri" w:eastAsia="Calibri"/>
                <w:b w:val="0"/>
                <w:i w:val="0"/>
                <w:color w:val="10192A"/>
                <w:sz w:val="19"/>
                <w:u w:val="none"/>
              </w:rPr>
              <w:tab/>
              <w:t>Expect a six-to-twelve-month search; consider a retained mandate.</w:t>
            </w:r>
          </w:p>
        </w:tc>
      </w:tr>
    </w:tbl>
    <w:p>
      <w:pPr>
        <w:keepNext/>
        <w:keepLines/>
        <w:pageBreakBefore w:val="1"/>
        <w:widowControl w:val="1"/>
        <w:spacing w:before="0" w:after="80"/>
      </w:pPr>
      <w:r>
        <w:rPr>
          <w:rFonts w:ascii="Calibri" w:hAnsi="Calibri" w:cs="Calibri" w:eastAsia="Calibri"/>
          <w:b/>
          <w:i w:val="0"/>
          <w:caps w:val="1"/>
          <w:color w:val="12B0CE"/>
          <w:spacing w:val="52"/>
          <w:sz w:val="15"/>
          <w:u w:val="none"/>
        </w:rPr>
        <w:t>APPENDIX A</w:t>
      </w:r>
    </w:p>
    <w:p>
      <w:pPr>
        <w:keepNext/>
        <w:keepLines/>
        <w:pageBreakBefore w:val="0"/>
        <w:widowControl w:val="1"/>
        <w:spacing w:before="0" w:after="120"/>
      </w:pPr>
      <w:r>
        <w:rPr>
          <w:rFonts w:ascii="Calibri" w:hAnsi="Calibri" w:cs="Calibri" w:eastAsia="Calibri"/>
          <w:b/>
          <w:i w:val="0"/>
          <w:color w:val="0C2340"/>
          <w:sz w:val="34"/>
          <w:u w:val="none"/>
        </w:rPr>
        <w:t>Data sources</w:t>
      </w:r>
    </w:p>
    <w:p>
      <w:pPr>
        <w:keepNext w:val="0"/>
        <w:keepLines/>
        <w:pageBreakBefore w:val="0"/>
        <w:widowControl w:val="1"/>
        <w:pBdr>
          <w:bottom w:val="single" w:sz="10" w:space="1" w:color="12B0CE"/>
        </w:pBdr>
        <w:spacing w:before="0" w:after="120" w:line="20" w:lineRule="exact"/>
      </w:pPr>
      <w:r>
        <w:rPr>
          <w:sz w:val="2"/>
        </w:rPr>
      </w:r>
    </w:p>
    <w:p>
      <w:pPr>
        <w:keepNext w:val="0"/>
        <w:keepLines/>
        <w:pageBreakBefore w:val="0"/>
        <w:widowControl w:val="1"/>
        <w:spacing w:before="0" w:after="0" w:line="317" w:lineRule="auto"/>
      </w:pPr>
      <w:r>
        <w:rPr>
          <w:rFonts w:ascii="Calibri" w:hAnsi="Calibri" w:cs="Calibri" w:eastAsia="Calibri"/>
          <w:b w:val="0"/>
          <w:i w:val="0"/>
          <w:color w:val="4C5B73"/>
          <w:sz w:val="19"/>
          <w:u w:val="none"/>
        </w:rPr>
        <w:t>Every figure in this report and where it came from.</w:t>
      </w:r>
    </w:p>
    <w:p>
      <w:pPr>
        <w:keepNext w:val="0"/>
        <w:keepLines/>
        <w:pageBreakBefore w:val="0"/>
        <w:widowControl w:val="1"/>
        <w:spacing w:before="0" w:after="0" w:line="108"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Data, Source, As at"/>
      </w:tblPr>
      <w:tblGrid>
        <w:gridCol w:w="3515"/>
        <w:gridCol w:w="4422"/>
        <w:gridCol w:w="2154"/>
      </w:tblGrid>
      <w:tr>
        <w:trPr>
          <w:cantSplit/>
          <w:trHeight w:val="420" w:hRule="atLeast"/>
          <w:tblHeader/>
        </w:trPr>
        <w:tc>
          <w:tcPr>
            <w:tcW w:type="dxa" w:w="3515"/>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Data</w:t>
            </w:r>
          </w:p>
        </w:tc>
        <w:tc>
          <w:tcPr>
            <w:tcW w:type="dxa" w:w="4422"/>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Source</w:t>
            </w:r>
          </w:p>
        </w:tc>
        <w:tc>
          <w:tcPr>
            <w:tcW w:type="dxa" w:w="2154"/>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As at</w:t>
            </w:r>
          </w:p>
        </w:tc>
      </w:tr>
      <w:tr>
        <w:trPr>
          <w:cantSplit/>
          <w:trHeight w:val="397" w:hRule="atLeast"/>
        </w:trPr>
        <w:tc>
          <w:tcPr>
            <w:tcW w:type="dxa" w:w="351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Median prices and sales volume</w:t>
            </w:r>
          </w:p>
        </w:tc>
        <w:tc>
          <w:tcPr>
            <w:tcW w:type="dxa" w:w="442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State valuer-general</w:t>
            </w:r>
          </w:p>
        </w:tc>
        <w:tc>
          <w:tcPr>
            <w:tcW w:type="dxa" w:w="215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30/06/2026</w:t>
            </w:r>
          </w:p>
        </w:tc>
      </w:tr>
      <w:tr>
        <w:trPr>
          <w:cantSplit/>
          <w:trHeight w:val="397" w:hRule="atLeast"/>
        </w:trPr>
        <w:tc>
          <w:tcPr>
            <w:tcW w:type="dxa" w:w="351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Median rents and vacancy</w:t>
            </w:r>
          </w:p>
        </w:tc>
        <w:tc>
          <w:tcPr>
            <w:tcW w:type="dxa" w:w="442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Rental bond authority</w:t>
            </w:r>
          </w:p>
        </w:tc>
        <w:tc>
          <w:tcPr>
            <w:tcW w:type="dxa" w:w="215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30/06/2026</w:t>
            </w:r>
          </w:p>
        </w:tc>
      </w:tr>
      <w:tr>
        <w:trPr>
          <w:cantSplit/>
          <w:trHeight w:val="397" w:hRule="atLeast"/>
        </w:trPr>
        <w:tc>
          <w:tcPr>
            <w:tcW w:type="dxa" w:w="351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Demographics</w:t>
            </w:r>
          </w:p>
        </w:tc>
        <w:tc>
          <w:tcPr>
            <w:tcW w:type="dxa" w:w="442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National census and estimates</w:t>
            </w:r>
          </w:p>
        </w:tc>
        <w:tc>
          <w:tcPr>
            <w:tcW w:type="dxa" w:w="215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2021, updated 2025</w:t>
            </w:r>
          </w:p>
        </w:tc>
      </w:tr>
      <w:tr>
        <w:trPr>
          <w:cantSplit/>
          <w:trHeight w:val="397" w:hRule="atLeast"/>
        </w:trPr>
        <w:tc>
          <w:tcPr>
            <w:tcW w:type="dxa" w:w="351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Listings and days on market</w:t>
            </w:r>
          </w:p>
        </w:tc>
        <w:tc>
          <w:tcPr>
            <w:tcW w:type="dxa" w:w="442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Aurixa market data</w:t>
            </w:r>
          </w:p>
        </w:tc>
        <w:tc>
          <w:tcPr>
            <w:tcW w:type="dxa" w:w="215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30/06/2026</w:t>
            </w:r>
          </w:p>
        </w:tc>
      </w:tr>
      <w:tr>
        <w:trPr>
          <w:cantSplit/>
          <w:trHeight w:val="397" w:hRule="atLeast"/>
        </w:trPr>
        <w:tc>
          <w:tcPr>
            <w:tcW w:type="dxa" w:w="351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Infrastructure</w:t>
            </w:r>
          </w:p>
        </w:tc>
        <w:tc>
          <w:tcPr>
            <w:tcW w:type="dxa" w:w="442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Local council capital works plan</w:t>
            </w:r>
          </w:p>
        </w:tc>
        <w:tc>
          <w:tcPr>
            <w:tcW w:type="dxa" w:w="215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May 2026</w:t>
            </w:r>
          </w:p>
        </w:tc>
      </w:tr>
    </w:tbl>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Important information</w:t>
            </w:r>
          </w:p>
          <w:p>
            <w:pPr>
              <w:keepNext/>
              <w:keepLines/>
              <w:pageBreakBefore w:val="0"/>
              <w:widowControl w:val="1"/>
              <w:spacing w:before="0" w:after="0"/>
            </w:pPr>
            <w:r>
              <w:rPr>
                <w:rFonts w:ascii="Calibri" w:hAnsi="Calibri" w:cs="Calibri" w:eastAsia="Calibri"/>
                <w:b w:val="0"/>
                <w:i w:val="0"/>
                <w:caps w:val="1"/>
                <w:color w:val="12B0CE"/>
                <w:spacing w:val="22"/>
                <w:sz w:val="14"/>
                <w:u w:val="none"/>
              </w:rPr>
              <w:t>Disclaimer, privacy and terms</w:t>
            </w:r>
          </w:p>
        </w:tc>
      </w:tr>
    </w:tbl>
    <w:p>
      <w:pPr>
        <w:keepNext w:val="1"/>
        <w:keepLines/>
        <w:pageBreakBefore w:val="0"/>
        <w:widowControl w:val="1"/>
        <w:spacing w:before="0" w:after="0" w:line="18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17"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17"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17"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28"/>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28"/>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2B0CE"/>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8"/>
              <w:sz w:val="14"/>
              <w:u w:val="none"/>
            </w:rPr>
            <w:t>Aurixa Systems</w:t>
          </w:r>
        </w:p>
      </w:tc>
      <w:tc>
        <w:tcPr>
          <w:tcW w:type="dxa" w:w="5046"/>
          <w:tcBorders>
            <w:top w:val="nil"/>
            <w:left w:val="nil"/>
            <w:bottom w:val="single" w:sz="6" w:space="0" w:color="12B0CE"/>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8"/>
              <w:sz w:val="14"/>
              <w:u w:val="none"/>
            </w:rPr>
            <w:t>Suburb Analysis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7"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Suburb Analysis Report</dc:title>
  <dc:subject>Location-level research: demographics, supply, demand, price and rent history, infrastructure and outlook for one suburb.</dc:subject>
  <dc:creator>Aurixa Systems</dc:creator>
  <cp:keywords>Suburb analysis, Location research, Area report, Property &amp; Buyer's Agency,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