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620" w:type="dxa"/>
              <w:left w:w="620" w:type="dxa"/>
              <w:bottom w:w="560" w:type="dxa"/>
              <w:right w:w="620" w:type="dxa"/>
            </w:tcMar>
          </w:tcPr>
          <w:p>
            <w:pPr>
              <w:spacing w:before="0" w:after="200" w:line="330" w:lineRule="auto"/>
            </w:pPr>
            <w:r>
              <w:rPr>
                <w:rFonts w:ascii="Consolas" w:hAnsi="Consolas" w:cs="Consolas"/>
                <w:caps/>
                <w:spacing w:val="20"/>
                <w:color w:val="C9B78E"/>
                <w:sz w:val="15"/>
                <w:szCs w:val="15"/>
              </w:rPr>
              <w:t xml:space="preserve">———   &lt;&lt;COMPANY NAME&gt;&gt;</w:t>
            </w:r>
          </w:p>
          <w:p>
            <w:pPr>
              <w:spacing w:before="0" w:after="60" w:line="240" w:lineRule="auto"/>
            </w:pPr>
            <w:r>
              <w:rPr>
                <w:rFonts w:ascii="Georgia" w:hAnsi="Georgia" w:cs="Georgia"/>
                <w:color w:val="FFFFFF"/>
                <w:sz w:val="80"/>
                <w:szCs w:val="80"/>
              </w:rPr>
              <w:t xml:space="preserve">Finance Referral &amp;</w:t>
            </w:r>
          </w:p>
          <w:p>
            <w:pPr>
              <w:spacing w:before="0" w:after="240" w:line="240" w:lineRule="auto"/>
            </w:pPr>
            <w:r>
              <w:rPr>
                <w:rFonts w:ascii="Georgia" w:hAnsi="Georgia" w:cs="Georgia"/>
                <w:color w:val="FFFFFF"/>
                <w:sz w:val="80"/>
                <w:szCs w:val="80"/>
              </w:rPr>
              <w:t xml:space="preserve">Commission Agreement</w:t>
            </w:r>
          </w:p>
          <w:p>
            <w:pPr>
              <w:pBdr>
                <w:top w:val="single" w:sz="4" w:space="2" w:color="3E5A4E"/>
              </w:pBdr>
              <w:spacing w:before="140" w:after="0" w:line="330" w:lineRule="auto"/>
            </w:pPr>
            <w:r>
              <w:rPr>
                <w:rFonts w:ascii="Consolas" w:hAnsi="Consolas" w:cs="Consolas"/>
                <w:caps/>
                <w:spacing w:val="14"/>
                <w:color w:val="B9C4BD"/>
                <w:sz w:val="16"/>
                <w:szCs w:val="16"/>
              </w:rPr>
              <w:t xml:space="preserve">Issued by the finance partner to the buyer's agency</w:t>
            </w:r>
          </w:p>
        </w:tc>
      </w:tr>
    </w:tbl>
    <w:p>
      <w:pPr>
        <w:spacing w:before="0" w:after="200" w:line="330" w:lineRule="auto"/>
      </w:pPr>
    </w:p>
    <w:p>
      <w:pPr>
        <w:spacing w:before="0" w:after="80" w:line="330" w:lineRule="auto"/>
      </w:pPr>
      <w:r>
        <w:rPr>
          <w:rFonts w:ascii="Consolas" w:hAnsi="Consolas" w:cs="Consolas"/>
          <w:caps/>
          <w:spacing w:val="14"/>
          <w:color w:val="B4633A"/>
          <w:sz w:val="14"/>
          <w:szCs w:val="14"/>
        </w:rPr>
        <w:t xml:space="preserve">Particulars</w:t>
      </w:r>
    </w:p>
    <w:tbl>
      <w:tblPr>
        <w:tblW w:w="5000" w:type="pct"/>
        <w:tblLayout w:type="fixed"/>
        <w:tblCellMar>
          <w:top w:w="0" w:type="dxa"/>
          <w:left w:w="0" w:type="dxa"/>
          <w:bottom w:w="0" w:type="dxa"/>
          <w:right w:w="0" w:type="dxa"/>
        </w:tblCellMar>
      </w:tblPr>
      <w:tblGrid>
        <w:gridCol w:w="3100"/>
        <w:gridCol w:w="6765"/>
      </w:tblGrid>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Between</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ABN / ACN</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And</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ABN / ACN</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Dated</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&lt;&lt;DATE&gt;&gt;</w:t>
            </w:r>
          </w:p>
        </w:tc>
      </w:tr>
      <w:tr>
        <w:tc>
          <w:tcPr>
            <w:tcW w:w="3100" w:type="dxa"/>
            <w:tcBorders>
              <w:bottom w:val="single" w:sz="4" w:space="0" w:color="EDEAE3"/>
            </w:tcBorders>
            <w:tcMar>
              <w:top w:w="160" w:type="dxa"/>
              <w:left w:w="0" w:type="dxa"/>
              <w:bottom w:w="160" w:type="dxa"/>
              <w:right w:w="120" w:type="dxa"/>
            </w:tcMar>
          </w:tcPr>
          <w:p>
            <w:pPr>
              <w:spacing w:before="0" w:after="0" w:line="330" w:lineRule="auto"/>
            </w:pPr>
            <w:r>
              <w:rPr>
                <w:rFonts w:ascii="Consolas" w:hAnsi="Consolas" w:cs="Consolas"/>
                <w:caps/>
                <w:spacing w:val="14"/>
                <w:color w:val="12352A"/>
                <w:sz w:val="15"/>
                <w:szCs w:val="15"/>
              </w:rPr>
              <w:t xml:space="preserve">Governing law</w:t>
            </w:r>
          </w:p>
        </w:tc>
        <w:tc>
          <w:tcPr>
            <w:tcW w:w="6765" w:type="dxa"/>
            <w:tcBorders>
              <w:bottom w:val="single" w:sz="4" w:space="0" w:color="EDEAE3"/>
            </w:tcBorders>
            <w:tcMar>
              <w:top w:w="160" w:type="dxa"/>
              <w:left w:w="0" w:type="dxa"/>
              <w:bottom w:w="16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bl>
    <w:p>
      <w:pPr>
        <w:pBdr>
          <w:top w:val="single" w:sz="12" w:space="2" w:color="12352A"/>
        </w:pBdr>
        <w:spacing w:before="240" w:after="0" w:line="330" w:lineRule="auto"/>
      </w:pPr>
      <w:r>
        <w:rPr>
          <w:rFonts w:ascii="Consolas" w:hAnsi="Consolas" w:cs="Consolas"/>
          <w:caps/>
          <w:spacing w:val="14"/>
          <w:color w:val="12352A"/>
          <w:sz w:val="15"/>
          <w:szCs w:val="15"/>
        </w:rPr>
        <w:t xml:space="preserve">Effective date: </w:t>
      </w:r>
      <w:r>
        <w:rPr>
          <w:rFonts w:ascii="Consolas" w:hAnsi="Consolas" w:cs="Consolas"/>
          <w:color w:val="8A6A2F"/>
          <w:sz w:val="15"/>
          <w:szCs w:val="15"/>
        </w:rPr>
        <w:t xml:space="preserve">&lt;&lt;DATE&gt;&gt;</w:t>
      </w:r>
      <w:r>
        <w:rPr>
          <w:rFonts w:ascii="Calibri" w:hAnsi="Calibri" w:cs="Calibri"/>
          <w:color w:val="242B27"/>
          <w:sz w:val="20"/>
          <w:szCs w:val="20"/>
        </w:rPr>
        <w:t xml:space="preserve">      </w:t>
      </w:r>
      <w:r>
        <w:rPr>
          <w:rFonts w:ascii="Calibri" w:hAnsi="Calibri" w:cs="Calibri"/>
          <w:color w:val="6B7570"/>
          <w:sz w:val="17"/>
          <w:szCs w:val="17"/>
        </w:rPr>
        <w:t xml:space="preserve">Template only - obtain legal, licensing, privacy and aggregator approval before use.</w:t>
      </w:r>
    </w:p>
    <w:p>
      <w:pPr>
        <w:pageBreakBefore/>
        <w:spacing w:before="0" w:after="80" w:line="330" w:lineRule="auto"/>
      </w:pPr>
      <w:r>
        <w:rPr>
          <w:rFonts w:ascii="Consolas" w:hAnsi="Consolas" w:cs="Consolas"/>
          <w:caps/>
          <w:spacing w:val="14"/>
          <w:color w:val="B4633A"/>
          <w:sz w:val="14"/>
          <w:szCs w:val="14"/>
        </w:rPr>
        <w:t xml:space="preserve">Contents</w:t>
      </w:r>
    </w:p>
    <w:p>
      <w:pPr>
        <w:pBdr>
          <w:bottom w:val="single" w:sz="12" w:space="2" w:color="12352A"/>
        </w:pBdr>
        <w:spacing w:before="0" w:after="200" w:line="330" w:lineRule="auto"/>
      </w:pPr>
      <w:r>
        <w:rPr>
          <w:rFonts w:ascii="Georgia" w:hAnsi="Georgia" w:cs="Georgia"/>
          <w:color w:val="12352A"/>
          <w:sz w:val="48"/>
          <w:szCs w:val="48"/>
        </w:rPr>
        <w:t xml:space="preserve">Finance Referral &amp; Commission Agreement</w:t>
      </w:r>
    </w:p>
    <w:tbl>
      <w:tblPr>
        <w:tblW w:w="5000" w:type="pct"/>
        <w:tblLayout w:type="fixed"/>
        <w:tblCellMar>
          <w:top w:w="0" w:type="dxa"/>
          <w:left w:w="0" w:type="dxa"/>
          <w:bottom w:w="0" w:type="dxa"/>
          <w:right w:w="0" w:type="dxa"/>
        </w:tblCellMar>
      </w:tblPr>
      <w:tblGrid>
        <w:gridCol w:w="900"/>
        <w:gridCol w:w="8965"/>
      </w:tblGrid>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E</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Partner Email Template</w:t>
            </w:r>
            <w:r>
              <w:rPr>
                <w:rFonts w:ascii="Calibri" w:hAnsi="Calibri" w:cs="Calibri"/>
                <w:color w:val="8A9490"/>
                <w:sz w:val="19"/>
                <w:szCs w:val="19"/>
              </w:rPr>
              <w:t xml:space="preserve">   ·   Editable introductory correspondence</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1</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Agreement Details</w:t>
            </w:r>
            <w:r>
              <w:rPr>
                <w:rFonts w:ascii="Calibri" w:hAnsi="Calibri" w:cs="Calibri"/>
                <w:color w:val="8A9490"/>
                <w:sz w:val="19"/>
                <w:szCs w:val="19"/>
              </w:rPr>
              <w:t xml:space="preserve">   ·   Core entity, licence and administration information</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2</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Purpose &amp; Professional Boundaries</w:t>
            </w:r>
            <w:r>
              <w:rPr>
                <w:rFonts w:ascii="Calibri" w:hAnsi="Calibri" w:cs="Calibri"/>
                <w:color w:val="8A9490"/>
                <w:sz w:val="19"/>
                <w:szCs w:val="19"/>
              </w:rPr>
              <w:t xml:space="preserve">   ·   Referral-only scope</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2A</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Purpose &amp; Finance Partner Services</w:t>
            </w:r>
            <w:r>
              <w:rPr>
                <w:rFonts w:ascii="Calibri" w:hAnsi="Calibri" w:cs="Calibri"/>
                <w:color w:val="8A9490"/>
                <w:sz w:val="19"/>
                <w:szCs w:val="19"/>
              </w:rPr>
              <w:t xml:space="preserve">   ·   Operative clauses</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3</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Referral Requirements</w:t>
            </w:r>
            <w:r>
              <w:rPr>
                <w:rFonts w:ascii="Calibri" w:hAnsi="Calibri" w:cs="Calibri"/>
                <w:color w:val="8A9490"/>
                <w:sz w:val="19"/>
                <w:szCs w:val="19"/>
              </w:rPr>
              <w:t xml:space="preserve">   ·   Consent, permitted information and secure handling</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4</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Commission &amp; Payment Schedule</w:t>
            </w:r>
            <w:r>
              <w:rPr>
                <w:rFonts w:ascii="Calibri" w:hAnsi="Calibri" w:cs="Calibri"/>
                <w:color w:val="8A9490"/>
                <w:sz w:val="19"/>
                <w:szCs w:val="19"/>
              </w:rPr>
              <w:t xml:space="preserve">   ·   Flexible percentage-based schedule</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5-7</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Commission Administration, Clawbacks &amp; Tax</w:t>
            </w:r>
            <w:r>
              <w:rPr>
                <w:rFonts w:ascii="Calibri" w:hAnsi="Calibri" w:cs="Calibri"/>
                <w:color w:val="8A9490"/>
                <w:sz w:val="19"/>
                <w:szCs w:val="19"/>
              </w:rPr>
              <w:t xml:space="preserve"/>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8-11</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Compliance, Privacy &amp; Relationship Protections</w:t>
            </w:r>
            <w:r>
              <w:rPr>
                <w:rFonts w:ascii="Calibri" w:hAnsi="Calibri" w:cs="Calibri"/>
                <w:color w:val="8A9490"/>
                <w:sz w:val="19"/>
                <w:szCs w:val="19"/>
              </w:rPr>
              <w:t xml:space="preserve"/>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12-13</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Term, Termination &amp; General Provisions</w:t>
            </w:r>
            <w:r>
              <w:rPr>
                <w:rFonts w:ascii="Calibri" w:hAnsi="Calibri" w:cs="Calibri"/>
                <w:color w:val="8A9490"/>
                <w:sz w:val="19"/>
                <w:szCs w:val="19"/>
              </w:rPr>
              <w:t xml:space="preserve"/>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14</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Execution</w:t>
            </w:r>
            <w:r>
              <w:rPr>
                <w:rFonts w:ascii="Calibri" w:hAnsi="Calibri" w:cs="Calibri"/>
                <w:color w:val="8A9490"/>
                <w:sz w:val="19"/>
                <w:szCs w:val="19"/>
              </w:rPr>
              <w:t xml:space="preserve">   ·   Electronic or wet signature</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A</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Client Referral &amp; Consent Form</w:t>
            </w:r>
            <w:r>
              <w:rPr>
                <w:rFonts w:ascii="Calibri" w:hAnsi="Calibri" w:cs="Calibri"/>
                <w:color w:val="8A9490"/>
                <w:sz w:val="19"/>
                <w:szCs w:val="19"/>
              </w:rPr>
              <w:t xml:space="preserve">   ·   Client-authorised introduction record</w:t>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B</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Loan Writer / Authorised Representative Undertaking</w:t>
            </w:r>
            <w:r>
              <w:rPr>
                <w:rFonts w:ascii="Calibri" w:hAnsi="Calibri" w:cs="Calibri"/>
                <w:color w:val="8A9490"/>
                <w:sz w:val="19"/>
                <w:szCs w:val="19"/>
              </w:rPr>
              <w:t xml:space="preserve"/>
            </w:r>
          </w:p>
        </w:tc>
      </w:tr>
      <w:tr>
        <w:tc>
          <w:tcPr>
            <w:tcW w:w="900" w:type="dxa"/>
            <w:tcBorders>
              <w:bottom w:val="single" w:sz="4" w:space="0" w:color="EDEAE3"/>
            </w:tcBorders>
            <w:tcMar>
              <w:top w:w="180" w:type="dxa"/>
              <w:left w:w="0" w:type="dxa"/>
              <w:bottom w:w="180" w:type="dxa"/>
              <w:right w:w="0" w:type="dxa"/>
            </w:tcMar>
          </w:tcPr>
          <w:p>
            <w:pPr>
              <w:spacing w:before="0" w:after="0" w:line="330" w:lineRule="auto"/>
            </w:pPr>
            <w:r>
              <w:rPr>
                <w:rFonts w:ascii="Consolas" w:hAnsi="Consolas" w:cs="Consolas"/>
                <w:color w:val="B4633A"/>
                <w:sz w:val="17"/>
                <w:szCs w:val="17"/>
              </w:rPr>
              <w:t xml:space="preserve">C</w:t>
            </w:r>
          </w:p>
        </w:tc>
        <w:tc>
          <w:tcPr>
            <w:tcW w:w="8965" w:type="dxa"/>
            <w:tcBorders>
              <w:bottom w:val="single" w:sz="4" w:space="0" w:color="EDEAE3"/>
            </w:tcBorders>
            <w:tcMar>
              <w:top w:w="180" w:type="dxa"/>
              <w:left w:w="0" w:type="dxa"/>
              <w:bottom w:w="180" w:type="dxa"/>
              <w:right w:w="0" w:type="dxa"/>
            </w:tcMar>
          </w:tcPr>
          <w:p>
            <w:pPr>
              <w:spacing w:before="0" w:after="0" w:line="330" w:lineRule="auto"/>
            </w:pPr>
            <w:r>
              <w:rPr>
                <w:rFonts w:ascii="Calibri" w:hAnsi="Calibri" w:cs="Calibri"/>
                <w:b/>
                <w:color w:val="12352A"/>
                <w:sz w:val="20"/>
                <w:szCs w:val="20"/>
              </w:rPr>
              <w:t xml:space="preserve">Referrer Entity &amp; Payment Details</w:t>
            </w:r>
            <w:r>
              <w:rPr>
                <w:rFonts w:ascii="Calibri" w:hAnsi="Calibri" w:cs="Calibri"/>
                <w:color w:val="8A9490"/>
                <w:sz w:val="19"/>
                <w:szCs w:val="19"/>
              </w:rPr>
              <w:t xml:space="preserve">   ·   Restricted finance administration form</w:t>
            </w:r>
          </w:p>
        </w:tc>
      </w:tr>
    </w:tbl>
    <w:p>
      <w:pPr>
        <w:pageBreakBefore/>
        <w:keepNext/>
        <w:spacing w:before="0" w:after="40" w:line="330" w:lineRule="auto"/>
      </w:pPr>
      <w:r>
        <w:rPr>
          <w:rFonts w:ascii="Consolas" w:hAnsi="Consolas" w:cs="Consolas"/>
          <w:spacing w:val="10"/>
          <w:color w:val="B4633A"/>
          <w:sz w:val="18"/>
          <w:szCs w:val="18"/>
        </w:rPr>
        <w:t xml:space="preserve">E</w:t>
      </w:r>
    </w:p>
    <w:p>
      <w:pPr>
        <w:keepNext/>
        <w:spacing w:before="0" w:after="60" w:line="240" w:lineRule="auto"/>
      </w:pPr>
      <w:r>
        <w:rPr>
          <w:rFonts w:ascii="Georgia" w:hAnsi="Georgia" w:cs="Georgia"/>
          <w:color w:val="12352A"/>
          <w:sz w:val="52"/>
          <w:szCs w:val="52"/>
        </w:rPr>
        <w:t xml:space="preserve">Partner Email Template</w:t>
      </w:r>
    </w:p>
    <w:p>
      <w:pPr>
        <w:keepNext/>
        <w:pBdr>
          <w:bottom w:val="single" w:sz="12" w:space="2" w:color="12352A"/>
        </w:pBdr>
        <w:spacing w:before="0" w:after="220" w:line="330" w:lineRule="auto"/>
      </w:pPr>
      <w:r>
        <w:rPr>
          <w:rFonts w:ascii="Calibri" w:hAnsi="Calibri" w:cs="Calibri"/>
          <w:color w:val="6B7570"/>
          <w:sz w:val="18"/>
          <w:szCs w:val="18"/>
        </w:rPr>
        <w:t xml:space="preserve">Editable introductory correspondence  ·  Customise, approve and issue</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How to use this page</w:t>
            </w:r>
          </w:p>
          <w:p>
            <w:pPr>
              <w:spacing w:before="0" w:after="0" w:line="330" w:lineRule="auto"/>
            </w:pPr>
            <w:r>
              <w:rPr>
                <w:rFonts w:ascii="Calibri" w:hAnsi="Calibri" w:cs="Calibri"/>
                <w:color w:val="3B443F"/>
                <w:sz w:val="18"/>
                <w:szCs w:val="18"/>
              </w:rPr>
              <w:t xml:space="preserve">Replace all bracketed fields, attach the agreement and commercial schedule, obtain internal approval, and delete this guidance card before issue.</w:t>
            </w:r>
          </w:p>
        </w:tc>
      </w:tr>
    </w:tbl>
    <w:p>
      <w:pPr>
        <w:spacing w:before="0" w:after="180" w:line="330" w:lineRule="auto"/>
      </w:pPr>
    </w:p>
    <w:tbl>
      <w:tblPr>
        <w:tblW w:w="5000" w:type="pct"/>
        <w:tblLayout w:type="fixed"/>
        <w:tblCellMar>
          <w:top w:w="0" w:type="dxa"/>
          <w:left w:w="0" w:type="dxa"/>
          <w:bottom w:w="0" w:type="dxa"/>
          <w:right w:w="0" w:type="dxa"/>
        </w:tblCellMar>
      </w:tblPr>
      <w:tblGrid>
        <w:gridCol w:w="9865"/>
      </w:tblGrid>
      <w:tr>
        <w:tc>
          <w:tcPr>
            <w:tcW w:w="9865" w:type="dxa"/>
            <w:tcBorders>
              <w:top w:val="single" w:sz="4" w:space="0" w:color="E2DED6"/>
              <w:bottom w:val="single" w:sz="4" w:space="0" w:color="E2DED6"/>
              <w:left w:val="single" w:sz="4" w:space="0" w:color="E2DED6"/>
              <w:right w:val="single" w:sz="4" w:space="0" w:color="E2DED6"/>
            </w:tcBorders>
            <w:tcMar>
              <w:top w:w="300" w:type="dxa"/>
              <w:left w:w="320" w:type="dxa"/>
              <w:bottom w:w="320" w:type="dxa"/>
              <w:right w:w="320" w:type="dxa"/>
            </w:tcMar>
          </w:tcPr>
          <w:p>
            <w:pPr>
              <w:spacing w:before="0" w:after="40" w:line="330" w:lineRule="auto"/>
            </w:pPr>
            <w:r>
              <w:rPr>
                <w:rFonts w:ascii="Consolas" w:hAnsi="Consolas" w:cs="Consolas"/>
                <w:caps/>
                <w:spacing w:val="16"/>
                <w:color w:val="8A9490"/>
                <w:sz w:val="14"/>
                <w:szCs w:val="14"/>
              </w:rPr>
              <w:t xml:space="preserve">Subject</w:t>
            </w:r>
          </w:p>
          <w:p>
            <w:pPr>
              <w:pBdr>
                <w:bottom w:val="single" w:sz="4" w:space="2" w:color="EDEAE3"/>
              </w:pBdr>
              <w:spacing w:before="0" w:after="200" w:line="330" w:lineRule="auto"/>
            </w:pPr>
            <w:r>
              <w:rPr>
                <w:rFonts w:ascii="Georgia" w:hAnsi="Georgia" w:cs="Georgia"/>
                <w:color w:val="12352A"/>
                <w:sz w:val="30"/>
                <w:szCs w:val="30"/>
              </w:rPr>
              <w:t xml:space="preserve">Finance Referral Partnership - </w:t>
            </w:r>
            <w:r>
              <w:rPr>
                <w:rFonts w:ascii="Consolas" w:hAnsi="Consolas" w:cs="Consolas"/>
                <w:color w:val="8A6A2F"/>
                <w:sz w:val="17"/>
                <w:szCs w:val="17"/>
                <w:shd w:val="clear" w:color="auto" w:fill="FAF3E8"/>
              </w:rPr>
              <w:t xml:space="preserve">&lt;&lt;FINANCE PARTNER NAME&gt;&gt;</w:t>
            </w:r>
            <w:r>
              <w:rPr>
                <w:rFonts w:ascii="Georgia" w:hAnsi="Georgia" w:cs="Georgia"/>
                <w:color w:val="12352A"/>
                <w:sz w:val="30"/>
                <w:szCs w:val="30"/>
              </w:rPr>
              <w:t xml:space="preserve"> and </w:t>
            </w:r>
            <w:r>
              <w:rPr>
                <w:rFonts w:ascii="Consolas" w:hAnsi="Consolas" w:cs="Consolas"/>
                <w:color w:val="8A6A2F"/>
                <w:sz w:val="17"/>
                <w:szCs w:val="17"/>
                <w:shd w:val="clear" w:color="auto" w:fill="FAF3E8"/>
              </w:rPr>
              <w:t xml:space="preserve">&lt;&lt;BUYER'S AGENCY NAME&gt;&gt;</w:t>
            </w:r>
          </w:p>
          <w:p>
            <w:pPr>
              <w:spacing w:before="0" w:after="140" w:line="330" w:lineRule="auto"/>
            </w:pPr>
            <w:r>
              <w:rPr>
                <w:rFonts w:ascii="Calibri" w:hAnsi="Calibri" w:cs="Calibri"/>
                <w:color w:val="242B27"/>
                <w:sz w:val="20"/>
                <w:szCs w:val="20"/>
              </w:rPr>
              <w:t xml:space="preserve">Hi </w:t>
            </w:r>
            <w:r>
              <w:rPr>
                <w:rFonts w:ascii="Consolas" w:hAnsi="Consolas" w:cs="Consolas"/>
                <w:color w:val="8A6A2F"/>
                <w:sz w:val="17"/>
                <w:szCs w:val="17"/>
                <w:shd w:val="clear" w:color="auto" w:fill="FAF3E8"/>
              </w:rPr>
              <w:t xml:space="preserve">&lt;&lt;FIRST NAME&gt;&gt;</w:t>
            </w:r>
            <w:r>
              <w:rPr>
                <w:rFonts w:ascii="Calibri" w:hAnsi="Calibri" w:cs="Calibri"/>
                <w:color w:val="242B27"/>
                <w:sz w:val="20"/>
                <w:szCs w:val="20"/>
              </w:rPr>
              <w:t xml:space="preserve">,</w:t>
            </w:r>
          </w:p>
          <w:p>
            <w:pPr>
              <w:spacing w:before="0" w:after="140" w:line="330" w:lineRule="auto"/>
            </w:pPr>
            <w:r>
              <w:rPr>
                <w:rFonts w:ascii="Calibri" w:hAnsi="Calibri" w:cs="Calibri"/>
                <w:color w:val="242B27"/>
                <w:sz w:val="20"/>
                <w:szCs w:val="20"/>
              </w:rPr>
              <w:t xml:space="preserve">Thank you for discussing a referral arrangement under which </w:t>
            </w:r>
            <w:r>
              <w:rPr>
                <w:rFonts w:ascii="Consolas" w:hAnsi="Consolas" w:cs="Consolas"/>
                <w:color w:val="8A6A2F"/>
                <w:sz w:val="17"/>
                <w:szCs w:val="17"/>
                <w:shd w:val="clear" w:color="auto" w:fill="FAF3E8"/>
              </w:rPr>
              <w:t xml:space="preserve">&lt;&lt;BUYER'S AGENCY NAME&gt;&gt;</w:t>
            </w:r>
            <w:r>
              <w:rPr>
                <w:rFonts w:ascii="Calibri" w:hAnsi="Calibri" w:cs="Calibri"/>
                <w:color w:val="242B27"/>
                <w:sz w:val="20"/>
                <w:szCs w:val="20"/>
              </w:rPr>
              <w:t xml:space="preserve"> may introduce clients to </w:t>
            </w:r>
            <w:r>
              <w:rPr>
                <w:rFonts w:ascii="Consolas" w:hAnsi="Consolas" w:cs="Consolas"/>
                <w:color w:val="8A6A2F"/>
                <w:sz w:val="17"/>
                <w:szCs w:val="17"/>
                <w:shd w:val="clear" w:color="auto" w:fill="FAF3E8"/>
              </w:rPr>
              <w:t xml:space="preserve">&lt;&lt;FINANCE PARTNER NAME&gt;&gt;</w:t>
            </w:r>
            <w:r>
              <w:rPr>
                <w:rFonts w:ascii="Calibri" w:hAnsi="Calibri" w:cs="Calibri"/>
                <w:color w:val="242B27"/>
                <w:sz w:val="20"/>
                <w:szCs w:val="20"/>
              </w:rPr>
              <w:t xml:space="preserve"> for potential credit services.</w:t>
            </w:r>
          </w:p>
          <w:p>
            <w:pPr>
              <w:spacing w:before="0" w:after="140" w:line="330" w:lineRule="auto"/>
            </w:pPr>
            <w:r>
              <w:rPr>
                <w:rFonts w:ascii="Calibri" w:hAnsi="Calibri" w:cs="Calibri"/>
                <w:color w:val="242B27"/>
                <w:sz w:val="20"/>
                <w:szCs w:val="20"/>
              </w:rPr>
              <w:t xml:space="preserve">Attached is the editable Finance Referral &amp; Commission Agreement, together with the supporting Loan Writer Undertaking, Referrer Entity &amp; Payment Details Form and Client Referral &amp; Consent Form.</w:t>
            </w:r>
          </w:p>
          <w:p>
            <w:pPr>
              <w:spacing w:before="0" w:after="140" w:line="330" w:lineRule="auto"/>
            </w:pPr>
            <w:r>
              <w:rPr>
                <w:rFonts w:ascii="Calibri" w:hAnsi="Calibri" w:cs="Calibri"/>
                <w:color w:val="242B27"/>
                <w:sz w:val="20"/>
                <w:szCs w:val="20"/>
              </w:rPr>
              <w:t xml:space="preserve">The commercial schedule contains open fields for the agreed upfront commission share, trail commission share, payment cycle, GST process, clawback treatment and treatment of refinances or subsequent loans. No percentage or payment date is pre-set.</w:t>
            </w:r>
          </w:p>
          <w:p>
            <w:pPr>
              <w:spacing w:before="0" w:after="140" w:line="330" w:lineRule="auto"/>
            </w:pPr>
            <w:r>
              <w:rPr>
                <w:rFonts w:ascii="Calibri" w:hAnsi="Calibri" w:cs="Calibri"/>
                <w:color w:val="242B27"/>
                <w:sz w:val="20"/>
                <w:szCs w:val="20"/>
              </w:rPr>
              <w:t xml:space="preserve">Before execution, the agreement should be reviewed and approved by the finance partner's legal, compliance, ACL-holder and aggregator teams, together with the buyer's agency's own advisers.</w:t>
            </w:r>
          </w:p>
          <w:p>
            <w:pPr>
              <w:spacing w:before="0" w:after="140" w:line="330" w:lineRule="auto"/>
            </w:pPr>
            <w:r>
              <w:rPr>
                <w:rFonts w:ascii="Calibri" w:hAnsi="Calibri" w:cs="Calibri"/>
                <w:color w:val="242B27"/>
                <w:sz w:val="20"/>
                <w:szCs w:val="20"/>
              </w:rPr>
              <w:t xml:space="preserve">Kind regards,</w:t>
            </w:r>
          </w:p>
          <w:p>
            <w:pPr>
              <w:pBdr>
                <w:top w:val="single" w:sz="4" w:space="2" w:color="EDEAE3"/>
              </w:pBdr>
              <w:spacing w:before="160" w:after="20" w:line="330" w:lineRule="auto"/>
            </w:pPr>
            <w:r>
              <w:rPr>
                <w:rFonts w:ascii="Consolas" w:hAnsi="Consolas" w:cs="Consolas"/>
                <w:color w:val="8A6A2F"/>
                <w:sz w:val="17"/>
                <w:szCs w:val="17"/>
                <w:shd w:val="clear" w:color="auto" w:fill="FAF3E8"/>
              </w:rPr>
              <w:t xml:space="preserve">&lt;&lt;SENDER NAME&gt;&gt;</w:t>
            </w:r>
          </w:p>
          <w:p>
            <w:pPr>
              <w:spacing w:before="0" w:after="20" w:line="330" w:lineRule="auto"/>
            </w:pPr>
            <w:r>
              <w:rPr>
                <w:rFonts w:ascii="Consolas" w:hAnsi="Consolas" w:cs="Consolas"/>
                <w:color w:val="8A6A2F"/>
                <w:sz w:val="17"/>
                <w:szCs w:val="17"/>
                <w:shd w:val="clear" w:color="auto" w:fill="FAF3E8"/>
              </w:rPr>
              <w:t xml:space="preserve">&lt;&lt;TITLE&gt;&gt;</w:t>
            </w:r>
          </w:p>
          <w:p>
            <w:pPr>
              <w:spacing w:before="0" w:after="20" w:line="330" w:lineRule="auto"/>
            </w:pPr>
            <w:r>
              <w:rPr>
                <w:rFonts w:ascii="Consolas" w:hAnsi="Consolas" w:cs="Consolas"/>
                <w:color w:val="8A6A2F"/>
                <w:sz w:val="17"/>
                <w:szCs w:val="17"/>
                <w:shd w:val="clear" w:color="auto" w:fill="FAF3E8"/>
              </w:rPr>
              <w:t xml:space="preserve">&lt;&lt;COMPANY NAME&gt;&gt;</w:t>
            </w:r>
          </w:p>
          <w:p>
            <w:pPr>
              <w:spacing w:before="0" w:after="0" w:line="330" w:lineRule="auto"/>
            </w:pPr>
            <w:r>
              <w:rPr>
                <w:rFonts w:ascii="Consolas" w:hAnsi="Consolas" w:cs="Consolas"/>
                <w:color w:val="8A6A2F"/>
                <w:sz w:val="17"/>
                <w:szCs w:val="17"/>
                <w:shd w:val="clear" w:color="auto" w:fill="FAF3E8"/>
              </w:rPr>
              <w:t xml:space="preserve">&lt;&lt;PHONE&gt;&gt;</w:t>
            </w:r>
            <w:r>
              <w:rPr>
                <w:rFonts w:ascii="Consolas" w:hAnsi="Consolas" w:cs="Consolas"/>
                <w:color w:val="8A9490"/>
                <w:sz w:val="17"/>
                <w:szCs w:val="17"/>
              </w:rPr>
              <w:t xml:space="preserve">  |  </w:t>
            </w:r>
            <w:r>
              <w:rPr>
                <w:rFonts w:ascii="Consolas" w:hAnsi="Consolas" w:cs="Consolas"/>
                <w:color w:val="8A6A2F"/>
                <w:sz w:val="17"/>
                <w:szCs w:val="17"/>
                <w:shd w:val="clear" w:color="auto" w:fill="FAF3E8"/>
              </w:rPr>
              <w:t xml:space="preserve">&lt;&lt;EMAIL&gt;&gt;</w:t>
            </w:r>
            <w:r>
              <w:rPr>
                <w:rFonts w:ascii="Consolas" w:hAnsi="Consolas" w:cs="Consolas"/>
                <w:color w:val="8A9490"/>
                <w:sz w:val="17"/>
                <w:szCs w:val="17"/>
              </w:rPr>
              <w:t xml:space="preserve">  |  </w:t>
            </w:r>
            <w:r>
              <w:rPr>
                <w:rFonts w:ascii="Consolas" w:hAnsi="Consolas" w:cs="Consolas"/>
                <w:color w:val="8A6A2F"/>
                <w:sz w:val="17"/>
                <w:szCs w:val="17"/>
                <w:shd w:val="clear" w:color="auto" w:fill="FAF3E8"/>
              </w:rPr>
              <w:t xml:space="preserve">&lt;&lt;WEBSITE&gt;&gt;</w:t>
            </w:r>
          </w:p>
        </w:tc>
      </w:tr>
    </w:tbl>
    <w:p>
      <w:pPr>
        <w:spacing w:before="0" w:after="120" w:line="330" w:lineRule="auto"/>
      </w:pPr>
    </w:p>
    <w:p>
      <w:pPr>
        <w:spacing w:before="0" w:after="100" w:line="330" w:lineRule="auto"/>
      </w:pPr>
      <w:r>
        <w:rPr>
          <w:rFonts w:ascii="Consolas" w:hAnsi="Consolas" w:cs="Consolas"/>
          <w:caps/>
          <w:spacing w:val="14"/>
          <w:color w:val="B4633A"/>
          <w:sz w:val="14"/>
          <w:szCs w:val="14"/>
        </w:rPr>
        <w:t xml:space="preserve">Activation checklist</w:t>
      </w:r>
    </w:p>
    <w:tbl>
      <w:tblPr>
        <w:tblW w:w="5000" w:type="pct"/>
        <w:tblLayout w:type="fixed"/>
        <w:tblCellMar>
          <w:top w:w="0" w:type="dxa"/>
          <w:left w:w="0" w:type="dxa"/>
          <w:bottom w:w="0" w:type="dxa"/>
          <w:right w:w="0" w:type="dxa"/>
        </w:tblCellMar>
      </w:tblPr>
      <w:tblGrid>
        <w:gridCol w:w="2466"/>
        <w:gridCol w:w="2466"/>
        <w:gridCol w:w="2466"/>
        <w:gridCol w:w="2466"/>
      </w:tblGrid>
      <w:tr>
        <w:tc>
          <w:tcPr>
            <w:tcW w:w="2466" w:type="dxa"/>
            <w:tcMar>
              <w:top w:w="120" w:type="dxa"/>
              <w:left w:w="0" w:type="dxa"/>
              <w:bottom w:w="0" w:type="dxa"/>
              <w:right w:w="260" w:type="dxa"/>
            </w:tcMar>
          </w:tcPr>
          <w:p>
            <w:pPr>
              <w:pBdr>
                <w:top w:val="single" w:sz="8" w:space="2" w:color="12352A"/>
              </w:pBdr>
              <w:spacing w:before="0" w:after="40" w:line="330" w:lineRule="auto"/>
            </w:pPr>
            <w:r>
              <w:rPr>
                <w:rFonts w:ascii="Consolas" w:hAnsi="Consolas" w:cs="Consolas"/>
                <w:color w:val="B4633A"/>
                <w:sz w:val="16"/>
                <w:szCs w:val="16"/>
              </w:rPr>
              <w:t xml:space="preserve">1</w:t>
            </w:r>
          </w:p>
          <w:p>
            <w:pPr>
              <w:spacing w:before="0" w:after="40" w:line="330" w:lineRule="auto"/>
            </w:pPr>
            <w:r>
              <w:rPr>
                <w:rFonts w:ascii="Consolas" w:hAnsi="Consolas" w:cs="Consolas"/>
                <w:caps/>
                <w:spacing w:val="12"/>
                <w:color w:val="12352A"/>
                <w:sz w:val="16"/>
                <w:szCs w:val="16"/>
              </w:rPr>
              <w:t xml:space="preserve">Customise</w:t>
            </w:r>
          </w:p>
          <w:p>
            <w:pPr>
              <w:spacing w:before="0" w:after="0" w:line="300" w:lineRule="auto"/>
            </w:pPr>
            <w:r>
              <w:rPr>
                <w:rFonts w:ascii="Calibri" w:hAnsi="Calibri" w:cs="Calibri"/>
                <w:color w:val="6B7570"/>
                <w:sz w:val="17"/>
                <w:szCs w:val="17"/>
              </w:rPr>
              <w:t xml:space="preserve">Company, contact and commercial fields</w:t>
            </w:r>
          </w:p>
        </w:tc>
        <w:tc>
          <w:tcPr>
            <w:tcW w:w="2466" w:type="dxa"/>
            <w:tcMar>
              <w:top w:w="120" w:type="dxa"/>
              <w:left w:w="0" w:type="dxa"/>
              <w:bottom w:w="0" w:type="dxa"/>
              <w:right w:w="260" w:type="dxa"/>
            </w:tcMar>
          </w:tcPr>
          <w:p>
            <w:pPr>
              <w:pBdr>
                <w:top w:val="single" w:sz="8" w:space="2" w:color="12352A"/>
              </w:pBdr>
              <w:spacing w:before="0" w:after="40" w:line="330" w:lineRule="auto"/>
            </w:pPr>
            <w:r>
              <w:rPr>
                <w:rFonts w:ascii="Consolas" w:hAnsi="Consolas" w:cs="Consolas"/>
                <w:color w:val="B4633A"/>
                <w:sz w:val="16"/>
                <w:szCs w:val="16"/>
              </w:rPr>
              <w:t xml:space="preserve">2</w:t>
            </w:r>
          </w:p>
          <w:p>
            <w:pPr>
              <w:spacing w:before="0" w:after="40" w:line="330" w:lineRule="auto"/>
            </w:pPr>
            <w:r>
              <w:rPr>
                <w:rFonts w:ascii="Consolas" w:hAnsi="Consolas" w:cs="Consolas"/>
                <w:caps/>
                <w:spacing w:val="12"/>
                <w:color w:val="12352A"/>
                <w:sz w:val="16"/>
                <w:szCs w:val="16"/>
              </w:rPr>
              <w:t xml:space="preserve">Review</w:t>
            </w:r>
          </w:p>
          <w:p>
            <w:pPr>
              <w:spacing w:before="0" w:after="0" w:line="300" w:lineRule="auto"/>
            </w:pPr>
            <w:r>
              <w:rPr>
                <w:rFonts w:ascii="Calibri" w:hAnsi="Calibri" w:cs="Calibri"/>
                <w:color w:val="6B7570"/>
                <w:sz w:val="17"/>
                <w:szCs w:val="17"/>
              </w:rPr>
              <w:t xml:space="preserve">Legal, compliance, ACL and aggregator</w:t>
            </w:r>
          </w:p>
        </w:tc>
        <w:tc>
          <w:tcPr>
            <w:tcW w:w="2466" w:type="dxa"/>
            <w:tcMar>
              <w:top w:w="120" w:type="dxa"/>
              <w:left w:w="0" w:type="dxa"/>
              <w:bottom w:w="0" w:type="dxa"/>
              <w:right w:w="260" w:type="dxa"/>
            </w:tcMar>
          </w:tcPr>
          <w:p>
            <w:pPr>
              <w:pBdr>
                <w:top w:val="single" w:sz="8" w:space="2" w:color="12352A"/>
              </w:pBdr>
              <w:spacing w:before="0" w:after="40" w:line="330" w:lineRule="auto"/>
            </w:pPr>
            <w:r>
              <w:rPr>
                <w:rFonts w:ascii="Consolas" w:hAnsi="Consolas" w:cs="Consolas"/>
                <w:color w:val="B4633A"/>
                <w:sz w:val="16"/>
                <w:szCs w:val="16"/>
              </w:rPr>
              <w:t xml:space="preserve">3</w:t>
            </w:r>
          </w:p>
          <w:p>
            <w:pPr>
              <w:spacing w:before="0" w:after="40" w:line="330" w:lineRule="auto"/>
            </w:pPr>
            <w:r>
              <w:rPr>
                <w:rFonts w:ascii="Consolas" w:hAnsi="Consolas" w:cs="Consolas"/>
                <w:caps/>
                <w:spacing w:val="12"/>
                <w:color w:val="12352A"/>
                <w:sz w:val="16"/>
                <w:szCs w:val="16"/>
              </w:rPr>
              <w:t xml:space="preserve">Execute</w:t>
            </w:r>
          </w:p>
          <w:p>
            <w:pPr>
              <w:spacing w:before="0" w:after="0" w:line="300" w:lineRule="auto"/>
            </w:pPr>
            <w:r>
              <w:rPr>
                <w:rFonts w:ascii="Calibri" w:hAnsi="Calibri" w:cs="Calibri"/>
                <w:color w:val="6B7570"/>
                <w:sz w:val="17"/>
                <w:szCs w:val="17"/>
              </w:rPr>
              <w:t xml:space="preserve">Approved electronic or wet signature</w:t>
            </w:r>
          </w:p>
        </w:tc>
        <w:tc>
          <w:tcPr>
            <w:tcW w:w="2466" w:type="dxa"/>
            <w:tcMar>
              <w:top w:w="120" w:type="dxa"/>
              <w:left w:w="0" w:type="dxa"/>
              <w:bottom w:w="0" w:type="dxa"/>
              <w:right w:w="0" w:type="dxa"/>
            </w:tcMar>
          </w:tcPr>
          <w:p>
            <w:pPr>
              <w:pBdr>
                <w:top w:val="single" w:sz="8" w:space="2" w:color="12352A"/>
              </w:pBdr>
              <w:spacing w:before="0" w:after="40" w:line="330" w:lineRule="auto"/>
            </w:pPr>
            <w:r>
              <w:rPr>
                <w:rFonts w:ascii="Consolas" w:hAnsi="Consolas" w:cs="Consolas"/>
                <w:color w:val="B4633A"/>
                <w:sz w:val="16"/>
                <w:szCs w:val="16"/>
              </w:rPr>
              <w:t xml:space="preserve">4</w:t>
            </w:r>
          </w:p>
          <w:p>
            <w:pPr>
              <w:spacing w:before="0" w:after="40" w:line="330" w:lineRule="auto"/>
            </w:pPr>
            <w:r>
              <w:rPr>
                <w:rFonts w:ascii="Consolas" w:hAnsi="Consolas" w:cs="Consolas"/>
                <w:caps/>
                <w:spacing w:val="12"/>
                <w:color w:val="12352A"/>
                <w:sz w:val="16"/>
                <w:szCs w:val="16"/>
              </w:rPr>
              <w:t xml:space="preserve">Activate</w:t>
            </w:r>
          </w:p>
          <w:p>
            <w:pPr>
              <w:spacing w:before="0" w:after="0" w:line="300" w:lineRule="auto"/>
            </w:pPr>
            <w:r>
              <w:rPr>
                <w:rFonts w:ascii="Calibri" w:hAnsi="Calibri" w:cs="Calibri"/>
                <w:color w:val="6B7570"/>
                <w:sz w:val="17"/>
                <w:szCs w:val="17"/>
              </w:rPr>
              <w:t xml:space="preserve">Secure referral and reporting workflow</w:t>
            </w:r>
          </w:p>
        </w:tc>
      </w:tr>
    </w:tbl>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240" w:type="dxa"/>
              <w:left w:w="300" w:type="dxa"/>
              <w:bottom w:w="240" w:type="dxa"/>
              <w:right w:w="300" w:type="dxa"/>
            </w:tcMar>
          </w:tcPr>
          <w:p>
            <w:pPr>
              <w:spacing w:before="0" w:after="80" w:line="330" w:lineRule="auto"/>
            </w:pPr>
            <w:r>
              <w:rPr>
                <w:rFonts w:ascii="Consolas" w:hAnsi="Consolas" w:cs="Consolas"/>
                <w:caps/>
                <w:spacing w:val="16"/>
                <w:color w:val="C9B78E"/>
                <w:sz w:val="14"/>
                <w:szCs w:val="14"/>
              </w:rPr>
              <w:t xml:space="preserve">Attachments</w:t>
            </w:r>
          </w:p>
          <w:p>
            <w:pPr>
              <w:spacing w:before="0" w:after="40" w:line="330" w:lineRule="auto"/>
            </w:pPr>
            <w:r>
              <w:rPr>
                <w:rFonts w:ascii="Calibri" w:hAnsi="Calibri" w:cs="Calibri"/>
                <w:color w:val="E7EAE6"/>
                <w:sz w:val="18"/>
                <w:szCs w:val="18"/>
              </w:rPr>
              <w:t xml:space="preserve">·   Finance Referral &amp; Commission Agreement</w:t>
            </w:r>
          </w:p>
          <w:p>
            <w:pPr>
              <w:spacing w:before="0" w:after="40" w:line="330" w:lineRule="auto"/>
            </w:pPr>
            <w:r>
              <w:rPr>
                <w:rFonts w:ascii="Calibri" w:hAnsi="Calibri" w:cs="Calibri"/>
                <w:color w:val="E7EAE6"/>
                <w:sz w:val="18"/>
                <w:szCs w:val="18"/>
              </w:rPr>
              <w:t xml:space="preserve">·   Loan Writer Undertaking</w:t>
            </w:r>
          </w:p>
          <w:p>
            <w:pPr>
              <w:spacing w:before="0" w:after="40" w:line="330" w:lineRule="auto"/>
            </w:pPr>
            <w:r>
              <w:rPr>
                <w:rFonts w:ascii="Calibri" w:hAnsi="Calibri" w:cs="Calibri"/>
                <w:color w:val="E7EAE6"/>
                <w:sz w:val="18"/>
                <w:szCs w:val="18"/>
              </w:rPr>
              <w:t xml:space="preserve">·   Referrer Entity &amp; Payment Details Form</w:t>
            </w:r>
          </w:p>
          <w:p>
            <w:pPr>
              <w:spacing w:before="0" w:after="40" w:line="330" w:lineRule="auto"/>
            </w:pPr>
            <w:r>
              <w:rPr>
                <w:rFonts w:ascii="Calibri" w:hAnsi="Calibri" w:cs="Calibri"/>
                <w:color w:val="E7EAE6"/>
                <w:sz w:val="18"/>
                <w:szCs w:val="18"/>
              </w:rPr>
              <w:t xml:space="preserve">·   Client Referral &amp; Consent Form</w:t>
            </w:r>
          </w:p>
        </w:tc>
      </w:tr>
    </w:tbl>
    <w:p>
      <w:pPr>
        <w:pageBreakBefore/>
        <w:keepNext/>
        <w:spacing w:before="0" w:after="40" w:line="330" w:lineRule="auto"/>
      </w:pPr>
      <w:r>
        <w:rPr>
          <w:rFonts w:ascii="Consolas" w:hAnsi="Consolas" w:cs="Consolas"/>
          <w:spacing w:val="10"/>
          <w:color w:val="B4633A"/>
          <w:sz w:val="18"/>
          <w:szCs w:val="18"/>
        </w:rPr>
        <w:t xml:space="preserve">1</w:t>
      </w:r>
    </w:p>
    <w:p>
      <w:pPr>
        <w:keepNext/>
        <w:spacing w:before="0" w:after="60" w:line="240" w:lineRule="auto"/>
      </w:pPr>
      <w:r>
        <w:rPr>
          <w:rFonts w:ascii="Georgia" w:hAnsi="Georgia" w:cs="Georgia"/>
          <w:color w:val="12352A"/>
          <w:sz w:val="52"/>
          <w:szCs w:val="52"/>
        </w:rPr>
        <w:t xml:space="preserve">Agreement Details</w:t>
      </w:r>
    </w:p>
    <w:p>
      <w:pPr>
        <w:keepNext/>
        <w:pBdr>
          <w:bottom w:val="single" w:sz="12" w:space="2" w:color="12352A"/>
        </w:pBdr>
        <w:spacing w:before="0" w:after="220" w:line="330" w:lineRule="auto"/>
      </w:pPr>
      <w:r>
        <w:rPr>
          <w:rFonts w:ascii="Calibri" w:hAnsi="Calibri" w:cs="Calibri"/>
          <w:color w:val="6B7570"/>
          <w:sz w:val="18"/>
          <w:szCs w:val="18"/>
        </w:rPr>
        <w:t xml:space="preserve">Complete before issue  ·  Core entity, licence and administration information</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Completion standard</w:t>
            </w:r>
          </w:p>
          <w:p>
            <w:pPr>
              <w:spacing w:before="0" w:after="0" w:line="330" w:lineRule="auto"/>
            </w:pPr>
            <w:r>
              <w:rPr>
                <w:rFonts w:ascii="Calibri" w:hAnsi="Calibri" w:cs="Calibri"/>
                <w:color w:val="3B443F"/>
                <w:sz w:val="18"/>
                <w:szCs w:val="18"/>
              </w:rPr>
              <w:t xml:space="preserve">Use the exact legal entity names, authorisation details, service addresses and commission-administration contacts that will appear in the executed agreement.</w:t>
            </w:r>
          </w:p>
        </w:tc>
      </w:tr>
    </w:tbl>
    <w:p>
      <w:pPr>
        <w:spacing w:before="0" w:after="180" w:line="330" w:lineRule="auto"/>
      </w:pP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Agreement date</w:t>
            </w:r>
          </w:p>
        </w:tc>
        <w:tc>
          <w:tcPr>
            <w:tcW w:w="2664" w:type="dxa"/>
            <w:tcBorders>
              <w:top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&lt;&lt;DATE&gt;&gt;</w:t>
            </w:r>
          </w:p>
        </w:tc>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Governing state / territory</w:t>
            </w:r>
          </w:p>
        </w:tc>
        <w:tc>
          <w:tcPr>
            <w:tcW w:w="2664" w:type="dxa"/>
            <w:tcBorders>
              <w:top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Finance partner legal name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Finance partner trading name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ABN / ACN</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ACL / credit representative number</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Authorising licensee / aggregator</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 OR N/A&gt;&gt;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Registered address</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Primary email</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Commission administration email</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Buyer's agency legal name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Buyer's agency trading name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ABN / ACN</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Property licence details</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IF APPLICABLE&gt;&gt;</w:t>
            </w:r>
          </w:p>
        </w:tc>
      </w:tr>
      <w:tr>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Registered address</w:t>
            </w:r>
          </w:p>
        </w:tc>
        <w:tc>
          <w:tcPr>
            <w:tcW w:w="2664" w:type="dxa"/>
            <w:tcBorders>
              <w:top w:val="single" w:sz="4" w:space="0" w:color="EDEAE3"/>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Primary email</w:t>
            </w:r>
          </w:p>
        </w:tc>
        <w:tc>
          <w:tcPr>
            <w:tcW w:w="2664" w:type="dxa"/>
            <w:tcBorders>
              <w:top w:val="single" w:sz="4" w:space="0" w:color="EDEAE3"/>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bl>
    <w:p>
      <w:pPr>
        <w:spacing w:before="0" w:after="120" w:line="330" w:lineRule="auto"/>
      </w:pPr>
    </w:p>
    <w:p>
      <w:pPr>
        <w:pBdr>
          <w:top w:val="single" w:sz="12" w:space="2" w:color="12352A"/>
        </w:pBdr>
        <w:spacing w:before="160" w:after="60" w:line="330" w:lineRule="auto"/>
      </w:pPr>
      <w:r>
        <w:rPr>
          <w:rFonts w:ascii="Consolas" w:hAnsi="Consolas" w:cs="Consolas"/>
          <w:caps/>
          <w:spacing w:val="16"/>
          <w:color w:val="B4633A"/>
          <w:sz w:val="14"/>
          <w:szCs w:val="14"/>
        </w:rPr>
        <w:t xml:space="preserve">Parties</w:t>
      </w:r>
    </w:p>
    <w:p>
      <w:pPr>
        <w:spacing w:before="0" w:after="0" w:line="330" w:lineRule="auto"/>
      </w:pPr>
      <w:r>
        <w:rPr>
          <w:rFonts w:ascii="Calibri" w:hAnsi="Calibri" w:cs="Calibri"/>
          <w:color w:val="3B443F"/>
          <w:sz w:val="19"/>
          <w:szCs w:val="19"/>
        </w:rPr>
        <w:t xml:space="preserve">The finance partner receives referrals and provides regulated credit services. The buyer's agency acts only as a referrer unless it separately holds the licences and authorisations required to provide credit assistance.</w:t>
      </w:r>
    </w:p>
    <w:p>
      <w:pPr>
        <w:pageBreakBefore/>
        <w:keepNext/>
        <w:spacing w:before="0" w:after="40" w:line="330" w:lineRule="auto"/>
      </w:pPr>
      <w:r>
        <w:rPr>
          <w:rFonts w:ascii="Consolas" w:hAnsi="Consolas" w:cs="Consolas"/>
          <w:spacing w:val="10"/>
          <w:color w:val="B4633A"/>
          <w:sz w:val="18"/>
          <w:szCs w:val="18"/>
        </w:rPr>
        <w:t xml:space="preserve">2</w:t>
      </w:r>
    </w:p>
    <w:p>
      <w:pPr>
        <w:keepNext/>
        <w:spacing w:before="0" w:after="60" w:line="240" w:lineRule="auto"/>
      </w:pPr>
      <w:r>
        <w:rPr>
          <w:rFonts w:ascii="Georgia" w:hAnsi="Georgia" w:cs="Georgia"/>
          <w:color w:val="12352A"/>
          <w:sz w:val="52"/>
          <w:szCs w:val="52"/>
        </w:rPr>
        <w:t xml:space="preserve">Purpose &amp; Professional Boundaries</w:t>
      </w:r>
    </w:p>
    <w:p>
      <w:pPr>
        <w:keepNext/>
        <w:pBdr>
          <w:bottom w:val="single" w:sz="12" w:space="2" w:color="12352A"/>
        </w:pBdr>
        <w:spacing w:before="0" w:after="220" w:line="330" w:lineRule="auto"/>
      </w:pPr>
      <w:r>
        <w:rPr>
          <w:rFonts w:ascii="Calibri" w:hAnsi="Calibri" w:cs="Calibri"/>
          <w:color w:val="6B7570"/>
          <w:sz w:val="18"/>
          <w:szCs w:val="18"/>
        </w:rPr>
        <w:t xml:space="preserve">Referral-only scope  ·  Clear distinction between introduction and credit assistance</w:t>
      </w:r>
    </w:p>
    <w:tbl>
      <w:tblPr>
        <w:tblW w:w="5000" w:type="pct"/>
        <w:tblLayout w:type="fixed"/>
        <w:tblCellMar>
          <w:top w:w="0" w:type="dxa"/>
          <w:left w:w="0" w:type="dxa"/>
          <w:bottom w:w="0" w:type="dxa"/>
          <w:right w:w="0" w:type="dxa"/>
        </w:tblCellMar>
      </w:tblPr>
      <w:tblGrid>
        <w:gridCol w:w="4732"/>
        <w:gridCol w:w="5132"/>
      </w:tblGrid>
      <w:tr>
        <w:tc>
          <w:tcPr>
            <w:tcW w:w="4732" w:type="dxa"/>
            <w:tcMar>
              <w:top w:w="0" w:type="dxa"/>
              <w:left w:w="0" w:type="dxa"/>
              <w:bottom w:w="0" w:type="dxa"/>
              <w:right w:w="420" w:type="dxa"/>
            </w:tcMar>
          </w:tcPr>
          <w:p>
            <w:pPr>
              <w:pBdr>
                <w:bottom w:val="single" w:sz="8" w:space="2" w:color="12352A"/>
              </w:pBdr>
              <w:spacing w:before="0" w:after="100" w:line="330" w:lineRule="auto"/>
            </w:pPr>
            <w:r>
              <w:rPr>
                <w:rFonts w:ascii="Consolas" w:hAnsi="Consolas" w:cs="Consolas"/>
                <w:caps/>
                <w:spacing w:val="14"/>
                <w:color w:val="12352A"/>
                <w:sz w:val="15"/>
                <w:szCs w:val="15"/>
              </w:rPr>
              <w:t xml:space="preserve">Buyer's agency / referrer may</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Tell a client that the Finance Partner can provide credit services.</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With written client consent, provide the client's name, contact details and a brief description of the general credit purpose.</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Disclose the agreed referral benefit or commission-share arrangement to the client.</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Submit and track the referral through the agreed secure workflow.</w:t>
            </w:r>
          </w:p>
          <w:p>
            <w:pP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Continue to provide separate property consulting and buyer advocacy services within its own licensed scope.</w:t>
            </w:r>
          </w:p>
        </w:tc>
        <w:tc>
          <w:tcPr>
            <w:tcW w:w="5132" w:type="dxa"/>
            <w:tcMar>
              <w:top w:w="0" w:type="dxa"/>
              <w:left w:w="0" w:type="dxa"/>
              <w:bottom w:w="0" w:type="dxa"/>
              <w:right w:w="0" w:type="dxa"/>
            </w:tcMar>
          </w:tcPr>
          <w:p>
            <w:pPr>
              <w:pBdr>
                <w:bottom w:val="single" w:sz="8" w:space="2" w:color="12352A"/>
              </w:pBdr>
              <w:spacing w:before="0" w:after="100" w:line="330" w:lineRule="auto"/>
            </w:pPr>
            <w:r>
              <w:rPr>
                <w:rFonts w:ascii="Consolas" w:hAnsi="Consolas" w:cs="Consolas"/>
                <w:caps/>
                <w:spacing w:val="14"/>
                <w:color w:val="12352A"/>
                <w:sz w:val="15"/>
                <w:szCs w:val="15"/>
              </w:rPr>
              <w:t xml:space="preserve">Buyer's agency / referrer must not</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Recommend a particular loan, lender, rate, credit product or finance structure.</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Assess or represent the client's eligibility, borrowing capacity or prospects of approval.</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Prepare or submit a credit application or negotiate with a lender on the client's behalf unless separately authorised.</w:t>
            </w:r>
          </w:p>
          <w:p>
            <w:pPr>
              <w:pBdr>
                <w:bottom w:val="single" w:sz="4" w:space="2" w:color="EDEAE3"/>
              </w:pBd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Describe itself as acting for the Finance Partner, ACL holder, aggregator or lender.</w:t>
            </w:r>
          </w:p>
          <w:p>
            <w:pPr>
              <w:ind w:left="340" w:hanging="340"/>
              <w:spacing w:before="100" w:after="100" w:line="330" w:lineRule="auto"/>
              <w:tabs>
                <w:tab w:val="left" w:pos="340"/>
              </w:tabs>
            </w:pPr>
            <w:r>
              <w:rPr>
                <w:rFonts w:ascii="Calibri" w:hAnsi="Calibri" w:cs="Calibri"/>
                <w:color w:val="B4633A"/>
                <w:sz w:val="19"/>
                <w:szCs w:val="19"/>
              </w:rPr>
              <w:t xml:space="preserve">—</w:t>
            </w:r>
            <w:r>
              <w:rPr>
                <w:rFonts w:ascii="Calibri" w:hAnsi="Calibri" w:cs="Calibri"/>
                <w:color w:val="242B27"/>
                <w:sz w:val="20"/>
                <w:szCs w:val="20"/>
              </w:rPr>
              <w:t xml:space="preserve">	</w:t>
            </w:r>
            <w:r>
              <w:rPr>
                <w:rFonts w:ascii="Calibri" w:hAnsi="Calibri" w:cs="Calibri"/>
                <w:color w:val="3B443F"/>
                <w:sz w:val="19"/>
                <w:szCs w:val="19"/>
              </w:rPr>
              <w:t xml:space="preserve">Charge the client a separate amount merely for making the referral, unless lawful and separately documented.</w:t>
            </w:r>
          </w:p>
        </w:tc>
      </w:tr>
    </w:tbl>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260" w:type="dxa"/>
              <w:left w:w="300" w:type="dxa"/>
              <w:bottom w:w="280" w:type="dxa"/>
              <w:right w:w="300" w:type="dxa"/>
            </w:tcMar>
          </w:tcPr>
          <w:p>
            <w:pPr>
              <w:spacing w:before="0" w:after="80" w:line="330" w:lineRule="auto"/>
            </w:pPr>
            <w:r>
              <w:rPr>
                <w:rFonts w:ascii="Consolas" w:hAnsi="Consolas" w:cs="Consolas"/>
                <w:caps/>
                <w:spacing w:val="16"/>
                <w:color w:val="C9B78E"/>
                <w:sz w:val="14"/>
                <w:szCs w:val="14"/>
              </w:rPr>
              <w:t xml:space="preserve">Referral boundary</w:t>
            </w:r>
          </w:p>
          <w:p>
            <w:pPr>
              <w:spacing w:before="0" w:after="0" w:line="330" w:lineRule="auto"/>
            </w:pPr>
            <w:r>
              <w:rPr>
                <w:rFonts w:ascii="Georgia" w:hAnsi="Georgia" w:cs="Georgia"/>
                <w:color w:val="E7EAE6"/>
                <w:sz w:val="28"/>
                <w:szCs w:val="28"/>
              </w:rPr>
              <w:t xml:space="preserve">The buyer’s agency introduces. The finance partner assesses, advises, applies, liaises and settles. Each organisation remains responsible for its own separate service relationship.</w:t>
            </w:r>
          </w:p>
        </w:tc>
      </w:tr>
    </w:tbl>
    <w:p>
      <w:pPr>
        <w:pageBreakBefore/>
        <w:keepNext/>
        <w:spacing w:before="0" w:after="40" w:line="330" w:lineRule="auto"/>
      </w:pPr>
      <w:r>
        <w:rPr>
          <w:rFonts w:ascii="Consolas" w:hAnsi="Consolas" w:cs="Consolas"/>
          <w:spacing w:val="10"/>
          <w:color w:val="B4633A"/>
          <w:sz w:val="18"/>
          <w:szCs w:val="18"/>
        </w:rPr>
        <w:t xml:space="preserve">2A</w:t>
      </w:r>
    </w:p>
    <w:p>
      <w:pPr>
        <w:keepNext/>
        <w:spacing w:before="0" w:after="60" w:line="240" w:lineRule="auto"/>
      </w:pPr>
      <w:r>
        <w:rPr>
          <w:rFonts w:ascii="Georgia" w:hAnsi="Georgia" w:cs="Georgia"/>
          <w:color w:val="12352A"/>
          <w:sz w:val="52"/>
          <w:szCs w:val="52"/>
        </w:rPr>
        <w:t xml:space="preserve">Purpose &amp; Finance Partner Services</w:t>
      </w:r>
    </w:p>
    <w:p>
      <w:pPr>
        <w:keepNext/>
        <w:pBdr>
          <w:bottom w:val="single" w:sz="12" w:space="2" w:color="12352A"/>
        </w:pBdr>
        <w:spacing w:before="0" w:after="220" w:line="330" w:lineRule="auto"/>
      </w:pPr>
      <w:r>
        <w:rPr>
          <w:rFonts w:ascii="Calibri" w:hAnsi="Calibri" w:cs="Calibri"/>
          <w:color w:val="6B7570"/>
          <w:sz w:val="18"/>
          <w:szCs w:val="18"/>
        </w:rPr>
        <w:t xml:space="preserve">Operative clauses  ·  Referral authority and regulated service responsibility</w:t>
      </w:r>
    </w:p>
    <w:p>
      <w:pPr>
        <w:keepNext/>
        <w:spacing w:before="240" w:after="60" w:line="330" w:lineRule="auto"/>
      </w:pPr>
      <w:r>
        <w:rPr>
          <w:rFonts w:ascii="Consolas" w:hAnsi="Consolas" w:cs="Consolas"/>
          <w:color w:val="B4633A"/>
          <w:sz w:val="18"/>
          <w:szCs w:val="18"/>
        </w:rPr>
        <w:t xml:space="preserve">1   </w:t>
      </w:r>
      <w:r>
        <w:rPr>
          <w:rFonts w:ascii="Calibri" w:hAnsi="Calibri" w:cs="Calibri"/>
          <w:b/>
          <w:color w:val="12352A"/>
          <w:sz w:val="22"/>
          <w:szCs w:val="22"/>
        </w:rPr>
        <w:t xml:space="preserve">Purpose of Agreement</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1.1</w:t>
      </w:r>
      <w:r>
        <w:rPr>
          <w:rFonts w:ascii="Calibri" w:hAnsi="Calibri" w:cs="Calibri"/>
          <w:color w:val="242B27"/>
          <w:sz w:val="20"/>
          <w:szCs w:val="20"/>
        </w:rPr>
        <w:t xml:space="preserve">	</w:t>
      </w:r>
      <w:r>
        <w:rPr>
          <w:rFonts w:ascii="Calibri" w:hAnsi="Calibri" w:cs="Calibri"/>
          <w:color w:val="242B27"/>
          <w:sz w:val="20"/>
          <w:szCs w:val="20"/>
        </w:rPr>
        <w:t xml:space="preserve">This Agreement permits the Buyer's Agency to refer clients to the Finance Partner for potential credit services and sets out the associated commission-share arrangement.</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1.2</w:t>
      </w:r>
      <w:r>
        <w:rPr>
          <w:rFonts w:ascii="Calibri" w:hAnsi="Calibri" w:cs="Calibri"/>
          <w:color w:val="242B27"/>
          <w:sz w:val="20"/>
          <w:szCs w:val="20"/>
        </w:rPr>
        <w:t xml:space="preserve">	</w:t>
      </w:r>
      <w:r>
        <w:rPr>
          <w:rFonts w:ascii="Calibri" w:hAnsi="Calibri" w:cs="Calibri"/>
          <w:color w:val="242B27"/>
          <w:sz w:val="20"/>
          <w:szCs w:val="20"/>
        </w:rPr>
        <w:t xml:space="preserve">The parties intend that referrals remain incidental to the Buyer's Agency's property-services business and are conducted within the limits of applicable credit, privacy and consumer laws.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w:t>
      </w:r>
      <w:r>
        <w:rPr>
          <w:rFonts w:ascii="Calibri" w:hAnsi="Calibri" w:cs="Calibri"/>
          <w:color w:val="242B27"/>
          <w:sz w:val="20"/>
          <w:szCs w:val="20"/>
        </w:rPr>
        <w:t xml:space="preserve">	</w:t>
      </w:r>
      <w:r>
        <w:rPr>
          <w:rFonts w:ascii="Calibri" w:hAnsi="Calibri" w:cs="Calibri"/>
          <w:color w:val="242B27"/>
          <w:sz w:val="20"/>
          <w:szCs w:val="20"/>
        </w:rPr>
        <w:t xml:space="preserve">This Agreement does not authorise the Buyer's Agency to provide credit assistance or represent the Finance Partner, any ACL holder, aggregator or lender.</w:t>
      </w:r>
    </w:p>
    <w:p>
      <w:pPr>
        <w:keepNext/>
        <w:spacing w:before="240" w:after="60" w:line="330" w:lineRule="auto"/>
      </w:pPr>
      <w:r>
        <w:rPr>
          <w:rFonts w:ascii="Consolas" w:hAnsi="Consolas" w:cs="Consolas"/>
          <w:color w:val="B4633A"/>
          <w:sz w:val="18"/>
          <w:szCs w:val="18"/>
        </w:rPr>
        <w:t xml:space="preserve">2   </w:t>
      </w:r>
      <w:r>
        <w:rPr>
          <w:rFonts w:ascii="Calibri" w:hAnsi="Calibri" w:cs="Calibri"/>
          <w:b/>
          <w:color w:val="12352A"/>
          <w:sz w:val="22"/>
          <w:szCs w:val="22"/>
        </w:rPr>
        <w:t xml:space="preserve">Finance Partner Services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2.1</w:t>
      </w:r>
      <w:r>
        <w:rPr>
          <w:rFonts w:ascii="Calibri" w:hAnsi="Calibri" w:cs="Calibri"/>
          <w:color w:val="242B27"/>
          <w:sz w:val="20"/>
          <w:szCs w:val="20"/>
        </w:rPr>
        <w:t xml:space="preserve">	</w:t>
      </w:r>
      <w:r>
        <w:rPr>
          <w:rFonts w:ascii="Calibri" w:hAnsi="Calibri" w:cs="Calibri"/>
          <w:color w:val="242B27"/>
          <w:sz w:val="20"/>
          <w:szCs w:val="20"/>
        </w:rPr>
        <w:t xml:space="preserve">The Finance Partner is solely responsible for all credit services, including fact finding, borrowing-capacity assessment, responsible lending inquiries, product comparison, loan structuring, application preparation, disclosure, submission, lender liaison and settlement.</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2.2</w:t>
      </w:r>
      <w:r>
        <w:rPr>
          <w:rFonts w:ascii="Calibri" w:hAnsi="Calibri" w:cs="Calibri"/>
          <w:color w:val="242B27"/>
          <w:sz w:val="20"/>
          <w:szCs w:val="20"/>
        </w:rPr>
        <w:t xml:space="preserve">	</w:t>
      </w:r>
      <w:r>
        <w:rPr>
          <w:rFonts w:ascii="Calibri" w:hAnsi="Calibri" w:cs="Calibri"/>
          <w:color w:val="242B27"/>
          <w:sz w:val="20"/>
          <w:szCs w:val="20"/>
        </w:rPr>
        <w:t xml:space="preserve">The Finance Partner must maintain all required licences, authorisations, memberships, lender accreditations and insurance.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2.3</w:t>
      </w:r>
      <w:r>
        <w:rPr>
          <w:rFonts w:ascii="Calibri" w:hAnsi="Calibri" w:cs="Calibri"/>
          <w:color w:val="242B27"/>
          <w:sz w:val="20"/>
          <w:szCs w:val="20"/>
        </w:rPr>
        <w:t xml:space="preserve">	</w:t>
      </w:r>
      <w:r>
        <w:rPr>
          <w:rFonts w:ascii="Calibri" w:hAnsi="Calibri" w:cs="Calibri"/>
          <w:color w:val="242B27"/>
          <w:sz w:val="20"/>
          <w:szCs w:val="20"/>
        </w:rPr>
        <w:t xml:space="preserve">The Finance Partner may accept or decline a referral or credit application and does not guarantee approval, valuation, pricing or settlement.</w:t>
      </w:r>
    </w:p>
    <w:p>
      <w:pPr>
        <w:pageBreakBefore/>
        <w:keepNext/>
        <w:spacing w:before="0" w:after="40" w:line="330" w:lineRule="auto"/>
      </w:pPr>
      <w:r>
        <w:rPr>
          <w:rFonts w:ascii="Consolas" w:hAnsi="Consolas" w:cs="Consolas"/>
          <w:spacing w:val="10"/>
          <w:color w:val="B4633A"/>
          <w:sz w:val="18"/>
          <w:szCs w:val="18"/>
        </w:rPr>
        <w:t xml:space="preserve">3</w:t>
      </w:r>
    </w:p>
    <w:p>
      <w:pPr>
        <w:keepNext/>
        <w:spacing w:before="0" w:after="60" w:line="240" w:lineRule="auto"/>
      </w:pPr>
      <w:r>
        <w:rPr>
          <w:rFonts w:ascii="Georgia" w:hAnsi="Georgia" w:cs="Georgia"/>
          <w:color w:val="12352A"/>
          <w:sz w:val="52"/>
          <w:szCs w:val="52"/>
        </w:rPr>
        <w:t xml:space="preserve">Referral Requirements</w:t>
      </w:r>
    </w:p>
    <w:p>
      <w:pPr>
        <w:keepNext/>
        <w:pBdr>
          <w:bottom w:val="single" w:sz="12" w:space="2" w:color="12352A"/>
        </w:pBdr>
        <w:spacing w:before="0" w:after="220" w:line="330" w:lineRule="auto"/>
      </w:pPr>
      <w:r>
        <w:rPr>
          <w:rFonts w:ascii="Calibri" w:hAnsi="Calibri" w:cs="Calibri"/>
          <w:color w:val="6B7570"/>
          <w:sz w:val="18"/>
          <w:szCs w:val="18"/>
        </w:rPr>
        <w:t xml:space="preserve">Buyer's agency to finance partner  ·  Consent, permitted information and secure handling</w:t>
      </w:r>
    </w:p>
    <w:p>
      <w:pPr>
        <w:keepNext/>
        <w:spacing w:before="240" w:after="60" w:line="330" w:lineRule="auto"/>
      </w:pPr>
      <w:r>
        <w:rPr>
          <w:rFonts w:ascii="Consolas" w:hAnsi="Consolas" w:cs="Consolas"/>
          <w:color w:val="B4633A"/>
          <w:sz w:val="18"/>
          <w:szCs w:val="18"/>
        </w:rPr>
        <w:t xml:space="preserve">3   </w:t>
      </w:r>
      <w:r>
        <w:rPr>
          <w:rFonts w:ascii="Calibri" w:hAnsi="Calibri" w:cs="Calibri"/>
          <w:b/>
          <w:color w:val="12352A"/>
          <w:sz w:val="22"/>
          <w:szCs w:val="22"/>
        </w:rPr>
        <w:t xml:space="preserve">Permitted Referral Activities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3.1</w:t>
      </w:r>
      <w:r>
        <w:rPr>
          <w:rFonts w:ascii="Calibri" w:hAnsi="Calibri" w:cs="Calibri"/>
          <w:color w:val="242B27"/>
          <w:sz w:val="20"/>
          <w:szCs w:val="20"/>
        </w:rPr>
        <w:t xml:space="preserve">	</w:t>
      </w:r>
      <w:r>
        <w:rPr>
          <w:rFonts w:ascii="Calibri" w:hAnsi="Calibri" w:cs="Calibri"/>
          <w:color w:val="242B27"/>
          <w:sz w:val="20"/>
          <w:szCs w:val="20"/>
        </w:rPr>
        <w:t xml:space="preserve">Before sharing information, the Buyer's Agency must tell the client that the Finance Partner may be able to provide credit services and obtain the client's written consent to the introduction.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3.2</w:t>
      </w:r>
      <w:r>
        <w:rPr>
          <w:rFonts w:ascii="Calibri" w:hAnsi="Calibri" w:cs="Calibri"/>
          <w:color w:val="242B27"/>
          <w:sz w:val="20"/>
          <w:szCs w:val="20"/>
        </w:rPr>
        <w:t xml:space="preserve">	</w:t>
      </w:r>
      <w:r>
        <w:rPr>
          <w:rFonts w:ascii="Calibri" w:hAnsi="Calibri" w:cs="Calibri"/>
          <w:color w:val="242B27"/>
          <w:sz w:val="20"/>
          <w:szCs w:val="20"/>
        </w:rPr>
        <w:t xml:space="preserve">The Buyer's Agency may provide only the client's name, contact details and a brief description of the general credit purpose unless the client separately authorises further disclosure.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3.3</w:t>
      </w:r>
      <w:r>
        <w:rPr>
          <w:rFonts w:ascii="Calibri" w:hAnsi="Calibri" w:cs="Calibri"/>
          <w:color w:val="242B27"/>
          <w:sz w:val="20"/>
          <w:szCs w:val="20"/>
        </w:rPr>
        <w:t xml:space="preserve">	</w:t>
      </w:r>
      <w:r>
        <w:rPr>
          <w:rFonts w:ascii="Calibri" w:hAnsi="Calibri" w:cs="Calibri"/>
          <w:color w:val="242B27"/>
          <w:sz w:val="20"/>
          <w:szCs w:val="20"/>
        </w:rPr>
        <w:t xml:space="preserve">The Buyer's Agency must disclose the nature of any commission share, referral fee or other material benefit in the manner required by law and the Finance Partner's compliance framework.</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3.4</w:t>
      </w:r>
      <w:r>
        <w:rPr>
          <w:rFonts w:ascii="Calibri" w:hAnsi="Calibri" w:cs="Calibri"/>
          <w:color w:val="242B27"/>
          <w:sz w:val="20"/>
          <w:szCs w:val="20"/>
        </w:rPr>
        <w:t xml:space="preserve">	</w:t>
      </w:r>
      <w:r>
        <w:rPr>
          <w:rFonts w:ascii="Calibri" w:hAnsi="Calibri" w:cs="Calibri"/>
          <w:color w:val="242B27"/>
          <w:sz w:val="20"/>
          <w:szCs w:val="20"/>
        </w:rPr>
        <w:t xml:space="preserve">The Buyer's Agency must not provide inaccurate, misleading or incomplete information and must promptly correct any material error it becomes aware of.</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3.5</w:t>
      </w:r>
      <w:r>
        <w:rPr>
          <w:rFonts w:ascii="Calibri" w:hAnsi="Calibri" w:cs="Calibri"/>
          <w:color w:val="242B27"/>
          <w:sz w:val="20"/>
          <w:szCs w:val="20"/>
        </w:rPr>
        <w:t xml:space="preserve">	</w:t>
      </w:r>
      <w:r>
        <w:rPr>
          <w:rFonts w:ascii="Calibri" w:hAnsi="Calibri" w:cs="Calibri"/>
          <w:color w:val="242B27"/>
          <w:sz w:val="20"/>
          <w:szCs w:val="20"/>
        </w:rPr>
        <w:t xml:space="preserve">The Buyer's Agency is not obliged to make referrals and the client remains free to choose another finance provider.</w:t>
      </w:r>
    </w:p>
    <w:p>
      <w:pPr>
        <w:keepNext/>
        <w:spacing w:before="240" w:after="60" w:line="330" w:lineRule="auto"/>
      </w:pPr>
      <w:r>
        <w:rPr>
          <w:rFonts w:ascii="Consolas" w:hAnsi="Consolas" w:cs="Consolas"/>
          <w:color w:val="B4633A"/>
          <w:sz w:val="18"/>
          <w:szCs w:val="18"/>
        </w:rPr>
        <w:t xml:space="preserve">4   </w:t>
      </w:r>
      <w:r>
        <w:rPr>
          <w:rFonts w:ascii="Calibri" w:hAnsi="Calibri" w:cs="Calibri"/>
          <w:b/>
          <w:color w:val="12352A"/>
          <w:sz w:val="22"/>
          <w:szCs w:val="22"/>
        </w:rPr>
        <w:t xml:space="preserve">Finance Partner Referral Handling</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4.1</w:t>
      </w:r>
      <w:r>
        <w:rPr>
          <w:rFonts w:ascii="Calibri" w:hAnsi="Calibri" w:cs="Calibri"/>
          <w:color w:val="242B27"/>
          <w:sz w:val="20"/>
          <w:szCs w:val="20"/>
        </w:rPr>
        <w:t xml:space="preserve">	</w:t>
      </w:r>
      <w:r>
        <w:rPr>
          <w:rFonts w:ascii="Calibri" w:hAnsi="Calibri" w:cs="Calibri"/>
          <w:color w:val="242B27"/>
          <w:sz w:val="20"/>
          <w:szCs w:val="20"/>
        </w:rPr>
        <w:t xml:space="preserve">The Finance Partner must confirm receipt, acceptance and the assigned broker or loan writer through the agreed portal or secure channel.</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4.2</w:t>
      </w:r>
      <w:r>
        <w:rPr>
          <w:rFonts w:ascii="Calibri" w:hAnsi="Calibri" w:cs="Calibri"/>
          <w:color w:val="242B27"/>
          <w:sz w:val="20"/>
          <w:szCs w:val="20"/>
        </w:rPr>
        <w:t xml:space="preserve">	</w:t>
      </w:r>
      <w:r>
        <w:rPr>
          <w:rFonts w:ascii="Calibri" w:hAnsi="Calibri" w:cs="Calibri"/>
          <w:color w:val="242B27"/>
          <w:sz w:val="20"/>
          <w:szCs w:val="20"/>
        </w:rPr>
        <w:t xml:space="preserve">The Finance Partner must contact the client within </w:t>
      </w:r>
      <w:r>
        <w:rPr>
          <w:rFonts w:ascii="Consolas" w:hAnsi="Consolas" w:cs="Consolas"/>
          <w:color w:val="8A6A2F"/>
          <w:sz w:val="17"/>
          <w:szCs w:val="17"/>
          <w:shd w:val="clear" w:color="auto" w:fill="FAF3E8"/>
        </w:rPr>
        <w:t xml:space="preserve">&lt;&lt;TIMEFRAME&gt;&gt;</w:t>
      </w:r>
      <w:r>
        <w:rPr>
          <w:rFonts w:ascii="Calibri" w:hAnsi="Calibri" w:cs="Calibri"/>
          <w:color w:val="242B27"/>
          <w:sz w:val="20"/>
          <w:szCs w:val="20"/>
        </w:rPr>
        <w:t xml:space="preserve"> or advise the Buyer's Agency that the referral cannot be serviced.</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4.3</w:t>
      </w:r>
      <w:r>
        <w:rPr>
          <w:rFonts w:ascii="Calibri" w:hAnsi="Calibri" w:cs="Calibri"/>
          <w:color w:val="242B27"/>
          <w:sz w:val="20"/>
          <w:szCs w:val="20"/>
        </w:rPr>
        <w:t xml:space="preserve">	</w:t>
      </w:r>
      <w:r>
        <w:rPr>
          <w:rFonts w:ascii="Calibri" w:hAnsi="Calibri" w:cs="Calibri"/>
          <w:color w:val="242B27"/>
          <w:sz w:val="20"/>
          <w:szCs w:val="20"/>
        </w:rPr>
        <w:t xml:space="preserve">Subject to client consent, the Finance Partner may provide high-level status updates such as contacted, assessment underway, application submitted, conditional approval, unconditional approval, settlement booked and settled.</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4.4</w:t>
      </w:r>
      <w:r>
        <w:rPr>
          <w:rFonts w:ascii="Calibri" w:hAnsi="Calibri" w:cs="Calibri"/>
          <w:color w:val="242B27"/>
          <w:sz w:val="20"/>
          <w:szCs w:val="20"/>
        </w:rPr>
        <w:t xml:space="preserve">	</w:t>
      </w:r>
      <w:r>
        <w:rPr>
          <w:rFonts w:ascii="Calibri" w:hAnsi="Calibri" w:cs="Calibri"/>
          <w:color w:val="242B27"/>
          <w:sz w:val="20"/>
          <w:szCs w:val="20"/>
        </w:rPr>
        <w:t xml:space="preserve">Detailed credit reports, lender comparisons, servicing calculations, liabilities, identity documents and financial records must not be disclosed to the Buyer's Agency unless specifically authorised and necessary.</w:t>
      </w:r>
    </w:p>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Secure workflow expectation</w:t>
            </w:r>
          </w:p>
          <w:p>
            <w:pPr>
              <w:spacing w:before="0" w:after="0" w:line="330" w:lineRule="auto"/>
            </w:pPr>
            <w:r>
              <w:rPr>
                <w:rFonts w:ascii="Calibri" w:hAnsi="Calibri" w:cs="Calibri"/>
                <w:color w:val="3B443F"/>
                <w:sz w:val="18"/>
                <w:szCs w:val="18"/>
              </w:rPr>
              <w:t xml:space="preserve">Use the agreed portal or secure channel for referral submission, status tracking and authorised information exchange.</w:t>
            </w:r>
          </w:p>
        </w:tc>
      </w:tr>
    </w:tbl>
    <w:p>
      <w:pPr>
        <w:spacing w:before="0" w:after="180" w:line="330" w:lineRule="auto"/>
      </w:pPr>
    </w:p>
    <w:p>
      <w:pPr>
        <w:pageBreakBefore/>
        <w:keepNext/>
        <w:spacing w:before="0" w:after="40" w:line="330" w:lineRule="auto"/>
      </w:pPr>
      <w:r>
        <w:rPr>
          <w:rFonts w:ascii="Consolas" w:hAnsi="Consolas" w:cs="Consolas"/>
          <w:spacing w:val="10"/>
          <w:color w:val="B4633A"/>
          <w:sz w:val="18"/>
          <w:szCs w:val="18"/>
        </w:rPr>
        <w:t xml:space="preserve">4</w:t>
      </w:r>
    </w:p>
    <w:p>
      <w:pPr>
        <w:keepNext/>
        <w:spacing w:before="0" w:after="60" w:line="240" w:lineRule="auto"/>
      </w:pPr>
      <w:r>
        <w:rPr>
          <w:rFonts w:ascii="Georgia" w:hAnsi="Georgia" w:cs="Georgia"/>
          <w:color w:val="12352A"/>
          <w:sz w:val="52"/>
          <w:szCs w:val="52"/>
        </w:rPr>
        <w:t xml:space="preserve">Commission &amp; Payment Schedule</w:t>
      </w:r>
    </w:p>
    <w:p>
      <w:pPr>
        <w:keepNext/>
        <w:pBdr>
          <w:bottom w:val="single" w:sz="12" w:space="2" w:color="12352A"/>
        </w:pBdr>
        <w:spacing w:before="0" w:after="220" w:line="330" w:lineRule="auto"/>
      </w:pPr>
      <w:r>
        <w:rPr>
          <w:rFonts w:ascii="Calibri" w:hAnsi="Calibri" w:cs="Calibri"/>
          <w:color w:val="6B7570"/>
          <w:sz w:val="18"/>
          <w:szCs w:val="18"/>
        </w:rPr>
        <w:t xml:space="preserve">Buyer's agency referral to finance partner  ·  Flexible percentage-based schedule</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Flexible percentage-based schedule</w:t>
            </w:r>
          </w:p>
          <w:p>
            <w:pPr>
              <w:spacing w:before="0" w:after="0" w:line="330" w:lineRule="auto"/>
            </w:pPr>
            <w:r>
              <w:rPr>
                <w:rFonts w:ascii="Calibri" w:hAnsi="Calibri" w:cs="Calibri"/>
                <w:color w:val="3B443F"/>
                <w:sz w:val="18"/>
                <w:szCs w:val="18"/>
              </w:rPr>
              <w:t xml:space="preserve">Complete the negotiated percentages and payment mechanics. The template does not prescribe an upfront percentage, trail percentage, payment date or lender panel.</w:t>
            </w:r>
          </w:p>
        </w:tc>
      </w:tr>
    </w:tbl>
    <w:p>
      <w:pPr>
        <w:spacing w:before="0" w:after="180" w:line="330" w:lineRule="auto"/>
      </w:pP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Upfront commission share</w:t>
            </w:r>
          </w:p>
        </w:tc>
        <w:tc>
          <w:tcPr>
            <w:tcW w:w="2664" w:type="dxa"/>
            <w:tcBorders>
              <w:top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 %&gt;&gt;</w:t>
            </w:r>
            <w:r>
              <w:rPr>
                <w:rFonts w:ascii="Calibri" w:hAnsi="Calibri" w:cs="Calibri"/>
                <w:color w:val="242B27"/>
                <w:sz w:val="19"/>
                <w:szCs w:val="19"/>
              </w:rPr>
              <w:t xml:space="preserve"> of net upfront commission actually received</w:t>
            </w:r>
          </w:p>
        </w:tc>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Trail commission share</w:t>
            </w:r>
          </w:p>
        </w:tc>
        <w:tc>
          <w:tcPr>
            <w:tcW w:w="2664" w:type="dxa"/>
            <w:tcBorders>
              <w:top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 OR 0%&gt;&gt;</w:t>
            </w:r>
            <w:r>
              <w:rPr>
                <w:rFonts w:ascii="Calibri" w:hAnsi="Calibri" w:cs="Calibri"/>
                <w:color w:val="242B27"/>
                <w:sz w:val="19"/>
                <w:szCs w:val="19"/>
              </w:rPr>
              <w:t xml:space="preserve"> of net trail commission actually received</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Commission basis</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alibri" w:hAnsi="Calibri" w:cs="Calibri"/>
                <w:color w:val="242B27"/>
                <w:sz w:val="19"/>
                <w:szCs w:val="19"/>
              </w:rPr>
              <w:t xml:space="preserve">☐  Gross received</w:t>
            </w:r>
          </w:p>
          <w:p>
            <w:pPr>
              <w:spacing w:before="0" w:after="0" w:line="330" w:lineRule="auto"/>
            </w:pPr>
            <w:r>
              <w:rPr>
                <w:rFonts w:ascii="Calibri" w:hAnsi="Calibri" w:cs="Calibri"/>
                <w:color w:val="242B27"/>
                <w:sz w:val="19"/>
                <w:szCs w:val="19"/>
              </w:rPr>
              <w:t xml:space="preserve">☐  Net of aggregator / licensee deductions</w:t>
            </w:r>
          </w:p>
          <w:p>
            <w:pPr>
              <w:spacing w:before="0" w:after="0" w:line="330" w:lineRule="auto"/>
            </w:pPr>
            <w:r>
              <w:rPr>
                <w:rFonts w:ascii="Calibri" w:hAnsi="Calibri" w:cs="Calibri"/>
                <w:color w:val="242B27"/>
                <w:sz w:val="19"/>
                <w:szCs w:val="19"/>
              </w:rPr>
              <w:t xml:space="preserve">☐  Other:</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Qualifying event</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Settled loan and first drawdown, unless otherwise stated: </w:t>
            </w: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Payment cycle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 MONTHLY / SPECIFIC BUSINESS DAYS / OTHER&gt;&gt;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Cleared funds condition</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Payment occurs only after the finance partner receives cleared funds:</w:t>
            </w:r>
          </w:p>
          <w:p>
            <w:pPr>
              <w:spacing w:before="0" w:after="0" w:line="330" w:lineRule="auto"/>
            </w:pPr>
            <w:r>
              <w:rPr>
                <w:rFonts w:ascii="Calibri" w:hAnsi="Calibri" w:cs="Calibri"/>
                <w:color w:val="242B27"/>
                <w:sz w:val="19"/>
                <w:szCs w:val="19"/>
              </w:rPr>
              <w:t xml:space="preserve">☐  Yes</w:t>
            </w:r>
          </w:p>
          <w:p>
            <w:pPr>
              <w:spacing w:before="0" w:after="0" w:line="330" w:lineRule="auto"/>
            </w:pPr>
            <w:r>
              <w:rPr>
                <w:rFonts w:ascii="Calibri" w:hAnsi="Calibri" w:cs="Calibri"/>
                <w:color w:val="242B27"/>
                <w:sz w:val="19"/>
                <w:szCs w:val="19"/>
              </w:rPr>
              <w:t xml:space="preserve">☐  No</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GST / tax invoice process</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alibri" w:hAnsi="Calibri" w:cs="Calibri"/>
                <w:color w:val="242B27"/>
                <w:sz w:val="19"/>
                <w:szCs w:val="19"/>
              </w:rPr>
              <w:t xml:space="preserve">☐  Tax invoice</w:t>
            </w:r>
          </w:p>
          <w:p>
            <w:pPr>
              <w:spacing w:before="0" w:after="0" w:line="330" w:lineRule="auto"/>
            </w:pPr>
            <w:r>
              <w:rPr>
                <w:rFonts w:ascii="Calibri" w:hAnsi="Calibri" w:cs="Calibri"/>
                <w:color w:val="242B27"/>
                <w:sz w:val="19"/>
                <w:szCs w:val="19"/>
              </w:rPr>
              <w:t xml:space="preserve">☐  RCTI</w:t>
            </w:r>
          </w:p>
          <w:p>
            <w:pPr>
              <w:spacing w:before="0" w:after="0" w:line="330" w:lineRule="auto"/>
            </w:pPr>
            <w:r>
              <w:rPr>
                <w:rFonts w:ascii="Calibri" w:hAnsi="Calibri" w:cs="Calibri"/>
                <w:color w:val="242B27"/>
                <w:sz w:val="19"/>
                <w:szCs w:val="19"/>
              </w:rPr>
              <w:t xml:space="preserve">☐  Other:</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Clawback treatment</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PROPORTIONAL REPAYMENT / OFFSET / OTHER&gt;&gt;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Clawback repayment timeframe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&lt;&lt;NUMBER&gt;&gt;</w:t>
            </w:r>
            <w:r>
              <w:rPr>
                <w:rFonts w:ascii="Calibri" w:hAnsi="Calibri" w:cs="Calibri"/>
                <w:color w:val="242B27"/>
                <w:sz w:val="19"/>
                <w:szCs w:val="19"/>
              </w:rPr>
              <w:t xml:space="preserve"> business days after written notice and evidence</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Refinances / top-ups / subsequent loans</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WHETHER INCLUDED OR EXCLUDED&gt;&gt;</w:t>
            </w:r>
          </w:p>
        </w:tc>
      </w:tr>
      <w:tr>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Duplicate referral rule</w:t>
            </w:r>
          </w:p>
        </w:tc>
        <w:tc>
          <w:tcPr>
            <w:tcW w:w="2664" w:type="dxa"/>
            <w:tcBorders>
              <w:top w:val="single" w:sz="4" w:space="0" w:color="EDEAE3"/>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 HOW EXISTING OR DUPLICATE CLIENTS ARE TREATED&gt;&gt;</w:t>
            </w:r>
          </w:p>
        </w:tc>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Post-termination entitlement</w:t>
            </w:r>
          </w:p>
        </w:tc>
        <w:tc>
          <w:tcPr>
            <w:tcW w:w="2664" w:type="dxa"/>
            <w:tcBorders>
              <w:top w:val="single" w:sz="4" w:space="0" w:color="EDEAE3"/>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AGREED TREATMENT OF PRE-TERMINATION REFERRALS&gt;&gt;</w:t>
            </w:r>
          </w:p>
        </w:tc>
      </w:tr>
    </w:tbl>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260" w:type="dxa"/>
              <w:left w:w="300" w:type="dxa"/>
              <w:bottom w:w="280" w:type="dxa"/>
              <w:right w:w="300" w:type="dxa"/>
            </w:tcMar>
          </w:tcPr>
          <w:p>
            <w:pPr>
              <w:spacing w:before="0" w:after="80" w:line="330" w:lineRule="auto"/>
            </w:pPr>
            <w:r>
              <w:rPr>
                <w:rFonts w:ascii="Consolas" w:hAnsi="Consolas" w:cs="Consolas"/>
                <w:caps/>
                <w:spacing w:val="16"/>
                <w:color w:val="C9B78E"/>
                <w:sz w:val="14"/>
                <w:szCs w:val="14"/>
              </w:rPr>
              <w:t xml:space="preserve">Cleared funds principle</w:t>
            </w:r>
          </w:p>
          <w:p>
            <w:pPr>
              <w:spacing w:before="0" w:after="0" w:line="330" w:lineRule="auto"/>
            </w:pPr>
            <w:r>
              <w:rPr>
                <w:rFonts w:ascii="Calibri" w:hAnsi="Calibri" w:cs="Calibri"/>
                <w:color w:val="E7EAE6"/>
                <w:sz w:val="19"/>
                <w:szCs w:val="19"/>
              </w:rPr>
              <w:t xml:space="preserve">The finance partner is not required to pay a commission share until it has actually received the relevant commission in cleared funds. Any lender, aggregator or licensee clawback is dealt with only in accordance with the completed clawback field above.</w:t>
            </w:r>
          </w:p>
        </w:tc>
      </w:tr>
    </w:tbl>
    <w:p>
      <w:pPr>
        <w:pageBreakBefore/>
        <w:keepNext/>
        <w:spacing w:before="0" w:after="40" w:line="330" w:lineRule="auto"/>
      </w:pPr>
      <w:r>
        <w:rPr>
          <w:rFonts w:ascii="Consolas" w:hAnsi="Consolas" w:cs="Consolas"/>
          <w:spacing w:val="10"/>
          <w:color w:val="B4633A"/>
          <w:sz w:val="18"/>
          <w:szCs w:val="18"/>
        </w:rPr>
        <w:t xml:space="preserve">5-7</w:t>
      </w:r>
    </w:p>
    <w:p>
      <w:pPr>
        <w:keepNext/>
        <w:spacing w:before="0" w:after="60" w:line="240" w:lineRule="auto"/>
      </w:pPr>
      <w:r>
        <w:rPr>
          <w:rFonts w:ascii="Georgia" w:hAnsi="Georgia" w:cs="Georgia"/>
          <w:color w:val="12352A"/>
          <w:sz w:val="52"/>
          <w:szCs w:val="52"/>
        </w:rPr>
        <w:t xml:space="preserve">Commission Administration, Clawbacks &amp; Tax</w:t>
      </w:r>
    </w:p>
    <w:p>
      <w:pPr>
        <w:keepNext/>
        <w:pBdr>
          <w:bottom w:val="single" w:sz="12" w:space="2" w:color="12352A"/>
        </w:pBdr>
        <w:spacing w:before="0" w:after="220" w:line="330" w:lineRule="auto"/>
      </w:pPr>
      <w:r>
        <w:rPr>
          <w:rFonts w:ascii="Calibri" w:hAnsi="Calibri" w:cs="Calibri"/>
          <w:color w:val="6B7570"/>
          <w:sz w:val="18"/>
          <w:szCs w:val="18"/>
        </w:rPr>
        <w:t xml:space="preserve">Statements, adjustments and GST controls</w:t>
      </w:r>
    </w:p>
    <w:p>
      <w:pPr>
        <w:keepNext/>
        <w:spacing w:before="240" w:after="60" w:line="330" w:lineRule="auto"/>
      </w:pPr>
      <w:r>
        <w:rPr>
          <w:rFonts w:ascii="Consolas" w:hAnsi="Consolas" w:cs="Consolas"/>
          <w:color w:val="B4633A"/>
          <w:sz w:val="18"/>
          <w:szCs w:val="18"/>
        </w:rPr>
        <w:t xml:space="preserve">5   </w:t>
      </w:r>
      <w:r>
        <w:rPr>
          <w:rFonts w:ascii="Calibri" w:hAnsi="Calibri" w:cs="Calibri"/>
          <w:b/>
          <w:color w:val="12352A"/>
          <w:sz w:val="22"/>
          <w:szCs w:val="22"/>
        </w:rPr>
        <w:t xml:space="preserve">Commission Statements and Payment</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5.1</w:t>
      </w:r>
      <w:r>
        <w:rPr>
          <w:rFonts w:ascii="Calibri" w:hAnsi="Calibri" w:cs="Calibri"/>
          <w:color w:val="242B27"/>
          <w:sz w:val="20"/>
          <w:szCs w:val="20"/>
        </w:rPr>
        <w:t xml:space="preserve">	</w:t>
      </w:r>
      <w:r>
        <w:rPr>
          <w:rFonts w:ascii="Calibri" w:hAnsi="Calibri" w:cs="Calibri"/>
          <w:color w:val="242B27"/>
          <w:sz w:val="20"/>
          <w:szCs w:val="20"/>
        </w:rPr>
        <w:t xml:space="preserve">The Finance Partner must provide a payment statement identifying the referral, relevant settled loan, commission received, calculation basis, GST treatment, adjustments and amount payable.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5.2</w:t>
      </w:r>
      <w:r>
        <w:rPr>
          <w:rFonts w:ascii="Calibri" w:hAnsi="Calibri" w:cs="Calibri"/>
          <w:color w:val="242B27"/>
          <w:sz w:val="20"/>
          <w:szCs w:val="20"/>
        </w:rPr>
        <w:t xml:space="preserve">	</w:t>
      </w:r>
      <w:r>
        <w:rPr>
          <w:rFonts w:ascii="Calibri" w:hAnsi="Calibri" w:cs="Calibri"/>
          <w:color w:val="242B27"/>
          <w:sz w:val="20"/>
          <w:szCs w:val="20"/>
        </w:rPr>
        <w:t xml:space="preserve">The Buyer's Agency must provide any valid tax invoice or entity information reasonably required under the completed schedule.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5.3</w:t>
      </w:r>
      <w:r>
        <w:rPr>
          <w:rFonts w:ascii="Calibri" w:hAnsi="Calibri" w:cs="Calibri"/>
          <w:color w:val="242B27"/>
          <w:sz w:val="20"/>
          <w:szCs w:val="20"/>
        </w:rPr>
        <w:t xml:space="preserve">	</w:t>
      </w:r>
      <w:r>
        <w:rPr>
          <w:rFonts w:ascii="Calibri" w:hAnsi="Calibri" w:cs="Calibri"/>
          <w:color w:val="242B27"/>
          <w:sz w:val="20"/>
          <w:szCs w:val="20"/>
        </w:rPr>
        <w:t xml:space="preserve">A payment dispute must be raised within </w:t>
      </w:r>
      <w:r>
        <w:rPr>
          <w:rFonts w:ascii="Consolas" w:hAnsi="Consolas" w:cs="Consolas"/>
          <w:color w:val="8A6A2F"/>
          <w:sz w:val="17"/>
          <w:szCs w:val="17"/>
          <w:shd w:val="clear" w:color="auto" w:fill="FAF3E8"/>
        </w:rPr>
        <w:t xml:space="preserve">&lt;&lt;NUMBER&gt;&gt;</w:t>
      </w:r>
      <w:r>
        <w:rPr>
          <w:rFonts w:ascii="Calibri" w:hAnsi="Calibri" w:cs="Calibri"/>
          <w:color w:val="242B27"/>
          <w:sz w:val="20"/>
          <w:szCs w:val="20"/>
        </w:rPr>
        <w:t xml:space="preserve"> business days after the statement. Undisputed amounts remain payable on time.</w:t>
      </w:r>
    </w:p>
    <w:p>
      <w:pPr>
        <w:keepNext/>
        <w:spacing w:before="240" w:after="60" w:line="330" w:lineRule="auto"/>
      </w:pPr>
      <w:r>
        <w:rPr>
          <w:rFonts w:ascii="Consolas" w:hAnsi="Consolas" w:cs="Consolas"/>
          <w:color w:val="B4633A"/>
          <w:sz w:val="18"/>
          <w:szCs w:val="18"/>
        </w:rPr>
        <w:t xml:space="preserve">6   </w:t>
      </w:r>
      <w:r>
        <w:rPr>
          <w:rFonts w:ascii="Calibri" w:hAnsi="Calibri" w:cs="Calibri"/>
          <w:b/>
          <w:color w:val="12352A"/>
          <w:sz w:val="22"/>
          <w:szCs w:val="22"/>
        </w:rPr>
        <w:t xml:space="preserve">Clawbacks and Adjustments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6.1</w:t>
      </w:r>
      <w:r>
        <w:rPr>
          <w:rFonts w:ascii="Calibri" w:hAnsi="Calibri" w:cs="Calibri"/>
          <w:color w:val="242B27"/>
          <w:sz w:val="20"/>
          <w:szCs w:val="20"/>
        </w:rPr>
        <w:t xml:space="preserve">	</w:t>
      </w:r>
      <w:r>
        <w:rPr>
          <w:rFonts w:ascii="Calibri" w:hAnsi="Calibri" w:cs="Calibri"/>
          <w:color w:val="242B27"/>
          <w:sz w:val="20"/>
          <w:szCs w:val="20"/>
        </w:rPr>
        <w:t xml:space="preserve">Where a lender, aggregator or ACL holder lawfully claws back commission relating to a referral, the parties will apply the completed clawback treatment in the Commission &amp; Payment Schedule.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6.2</w:t>
      </w:r>
      <w:r>
        <w:rPr>
          <w:rFonts w:ascii="Calibri" w:hAnsi="Calibri" w:cs="Calibri"/>
          <w:color w:val="242B27"/>
          <w:sz w:val="20"/>
          <w:szCs w:val="20"/>
        </w:rPr>
        <w:t xml:space="preserve">	</w:t>
      </w:r>
      <w:r>
        <w:rPr>
          <w:rFonts w:ascii="Calibri" w:hAnsi="Calibri" w:cs="Calibri"/>
          <w:color w:val="242B27"/>
          <w:sz w:val="20"/>
          <w:szCs w:val="20"/>
        </w:rPr>
        <w:t xml:space="preserve">The Finance Partner must provide reasonable evidence of the clawback and its calculation.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6.3</w:t>
      </w:r>
      <w:r>
        <w:rPr>
          <w:rFonts w:ascii="Calibri" w:hAnsi="Calibri" w:cs="Calibri"/>
          <w:color w:val="242B27"/>
          <w:sz w:val="20"/>
          <w:szCs w:val="20"/>
        </w:rPr>
        <w:t xml:space="preserve">	</w:t>
      </w:r>
      <w:r>
        <w:rPr>
          <w:rFonts w:ascii="Calibri" w:hAnsi="Calibri" w:cs="Calibri"/>
          <w:color w:val="242B27"/>
          <w:sz w:val="20"/>
          <w:szCs w:val="20"/>
        </w:rPr>
        <w:t xml:space="preserve">The Buyer's Agency's repayment or offset obligation cannot exceed the commission-share amount actually paid to it for the affected loan, unless otherwise expressly agreed.</w:t>
      </w:r>
    </w:p>
    <w:p>
      <w:pPr>
        <w:keepNext/>
        <w:spacing w:before="240" w:after="60" w:line="330" w:lineRule="auto"/>
      </w:pPr>
      <w:r>
        <w:rPr>
          <w:rFonts w:ascii="Consolas" w:hAnsi="Consolas" w:cs="Consolas"/>
          <w:color w:val="B4633A"/>
          <w:sz w:val="18"/>
          <w:szCs w:val="18"/>
        </w:rPr>
        <w:t xml:space="preserve">7   </w:t>
      </w:r>
      <w:r>
        <w:rPr>
          <w:rFonts w:ascii="Calibri" w:hAnsi="Calibri" w:cs="Calibri"/>
          <w:b/>
          <w:color w:val="12352A"/>
          <w:sz w:val="22"/>
          <w:szCs w:val="22"/>
        </w:rPr>
        <w:t xml:space="preserve">GST and RCTIs (Reciept Created Tax Invoices)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7.1</w:t>
      </w:r>
      <w:r>
        <w:rPr>
          <w:rFonts w:ascii="Calibri" w:hAnsi="Calibri" w:cs="Calibri"/>
          <w:color w:val="242B27"/>
          <w:sz w:val="20"/>
          <w:szCs w:val="20"/>
        </w:rPr>
        <w:t xml:space="preserve">	</w:t>
      </w:r>
      <w:r>
        <w:rPr>
          <w:rFonts w:ascii="Calibri" w:hAnsi="Calibri" w:cs="Calibri"/>
          <w:color w:val="242B27"/>
          <w:sz w:val="20"/>
          <w:szCs w:val="20"/>
        </w:rPr>
        <w:t xml:space="preserve">Amounts are treated as inclusive or exclusive of GST as stated in the Commission &amp; Payment Schedule.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7.2</w:t>
      </w:r>
      <w:r>
        <w:rPr>
          <w:rFonts w:ascii="Calibri" w:hAnsi="Calibri" w:cs="Calibri"/>
          <w:color w:val="242B27"/>
          <w:sz w:val="20"/>
          <w:szCs w:val="20"/>
        </w:rPr>
        <w:t xml:space="preserve">	</w:t>
      </w:r>
      <w:r>
        <w:rPr>
          <w:rFonts w:ascii="Calibri" w:hAnsi="Calibri" w:cs="Calibri"/>
          <w:color w:val="242B27"/>
          <w:sz w:val="20"/>
          <w:szCs w:val="20"/>
        </w:rPr>
        <w:t xml:space="preserve">A party must remain registered for GST where required and notify the other if its status changes.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7.3</w:t>
      </w:r>
      <w:r>
        <w:rPr>
          <w:rFonts w:ascii="Calibri" w:hAnsi="Calibri" w:cs="Calibri"/>
          <w:color w:val="242B27"/>
          <w:sz w:val="20"/>
          <w:szCs w:val="20"/>
        </w:rPr>
        <w:t xml:space="preserve">	</w:t>
      </w:r>
      <w:r>
        <w:rPr>
          <w:rFonts w:ascii="Calibri" w:hAnsi="Calibri" w:cs="Calibri"/>
          <w:color w:val="242B27"/>
          <w:sz w:val="20"/>
          <w:szCs w:val="20"/>
        </w:rPr>
        <w:t xml:space="preserve">If recipient-created tax invoices are used, the parties must satisfy the applicable requirements and the Buyer's Agency must not issue a duplicate tax invoice for the same supply.</w:t>
      </w:r>
    </w:p>
    <w:p>
      <w:pPr>
        <w:pageBreakBefore/>
        <w:keepNext/>
        <w:spacing w:before="0" w:after="40" w:line="330" w:lineRule="auto"/>
      </w:pPr>
      <w:r>
        <w:rPr>
          <w:rFonts w:ascii="Consolas" w:hAnsi="Consolas" w:cs="Consolas"/>
          <w:spacing w:val="10"/>
          <w:color w:val="B4633A"/>
          <w:sz w:val="18"/>
          <w:szCs w:val="18"/>
        </w:rPr>
        <w:t xml:space="preserve">8-11</w:t>
      </w:r>
    </w:p>
    <w:p>
      <w:pPr>
        <w:keepNext/>
        <w:spacing w:before="0" w:after="60" w:line="240" w:lineRule="auto"/>
      </w:pPr>
      <w:r>
        <w:rPr>
          <w:rFonts w:ascii="Georgia" w:hAnsi="Georgia" w:cs="Georgia"/>
          <w:color w:val="12352A"/>
          <w:sz w:val="52"/>
          <w:szCs w:val="52"/>
        </w:rPr>
        <w:t xml:space="preserve">Compliance, Privacy &amp; Relationship Protections</w:t>
      </w:r>
    </w:p>
    <w:p>
      <w:pPr>
        <w:keepNext/>
        <w:pBdr>
          <w:bottom w:val="single" w:sz="12" w:space="2" w:color="12352A"/>
        </w:pBdr>
        <w:spacing w:before="0" w:after="220" w:line="330" w:lineRule="auto"/>
      </w:pPr>
      <w:r>
        <w:rPr>
          <w:rFonts w:ascii="Calibri" w:hAnsi="Calibri" w:cs="Calibri"/>
          <w:color w:val="6B7570"/>
          <w:sz w:val="18"/>
          <w:szCs w:val="18"/>
        </w:rPr>
        <w:t xml:space="preserve">Authorisations, information security and risk allocation</w:t>
      </w:r>
    </w:p>
    <w:p>
      <w:pPr>
        <w:keepNext/>
        <w:spacing w:before="240" w:after="60" w:line="330" w:lineRule="auto"/>
      </w:pPr>
      <w:r>
        <w:rPr>
          <w:rFonts w:ascii="Consolas" w:hAnsi="Consolas" w:cs="Consolas"/>
          <w:color w:val="B4633A"/>
          <w:sz w:val="18"/>
          <w:szCs w:val="18"/>
        </w:rPr>
        <w:t xml:space="preserve">8   </w:t>
      </w:r>
      <w:r>
        <w:rPr>
          <w:rFonts w:ascii="Calibri" w:hAnsi="Calibri" w:cs="Calibri"/>
          <w:b/>
          <w:color w:val="12352A"/>
          <w:sz w:val="22"/>
          <w:szCs w:val="22"/>
        </w:rPr>
        <w:t xml:space="preserve">Compliance and Warranties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8.1</w:t>
      </w:r>
      <w:r>
        <w:rPr>
          <w:rFonts w:ascii="Calibri" w:hAnsi="Calibri" w:cs="Calibri"/>
          <w:color w:val="242B27"/>
          <w:sz w:val="20"/>
          <w:szCs w:val="20"/>
        </w:rPr>
        <w:t xml:space="preserve">	</w:t>
      </w:r>
      <w:r>
        <w:rPr>
          <w:rFonts w:ascii="Calibri" w:hAnsi="Calibri" w:cs="Calibri"/>
          <w:color w:val="242B27"/>
          <w:sz w:val="20"/>
          <w:szCs w:val="20"/>
        </w:rPr>
        <w:t xml:space="preserve">Each party warrants that it holds the licences, approvals and authority required for its own business and will comply with applicable laws and lawful compliance directions.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8.2</w:t>
      </w:r>
      <w:r>
        <w:rPr>
          <w:rFonts w:ascii="Calibri" w:hAnsi="Calibri" w:cs="Calibri"/>
          <w:color w:val="242B27"/>
          <w:sz w:val="20"/>
          <w:szCs w:val="20"/>
        </w:rPr>
        <w:t xml:space="preserve">	</w:t>
      </w:r>
      <w:r>
        <w:rPr>
          <w:rFonts w:ascii="Calibri" w:hAnsi="Calibri" w:cs="Calibri"/>
          <w:color w:val="242B27"/>
          <w:sz w:val="20"/>
          <w:szCs w:val="20"/>
        </w:rPr>
        <w:t xml:space="preserve">The Buyer's Agency warrants that it will not engage in credit activity beyond the scope permitted by law and its authorisations.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8.3</w:t>
      </w:r>
      <w:r>
        <w:rPr>
          <w:rFonts w:ascii="Calibri" w:hAnsi="Calibri" w:cs="Calibri"/>
          <w:color w:val="242B27"/>
          <w:sz w:val="20"/>
          <w:szCs w:val="20"/>
        </w:rPr>
        <w:t xml:space="preserve">	</w:t>
      </w:r>
      <w:r>
        <w:rPr>
          <w:rFonts w:ascii="Calibri" w:hAnsi="Calibri" w:cs="Calibri"/>
          <w:color w:val="242B27"/>
          <w:sz w:val="20"/>
          <w:szCs w:val="20"/>
        </w:rPr>
        <w:t xml:space="preserve">The Buyer's Agency must promptly notify the Finance Partner if it becomes banned, disqualified, subject to a material complaint or investigation, or otherwise unable to make referrals lawfully.</w:t>
      </w:r>
    </w:p>
    <w:p>
      <w:pPr>
        <w:keepNext/>
        <w:spacing w:before="240" w:after="60" w:line="330" w:lineRule="auto"/>
      </w:pPr>
      <w:r>
        <w:rPr>
          <w:rFonts w:ascii="Consolas" w:hAnsi="Consolas" w:cs="Consolas"/>
          <w:color w:val="B4633A"/>
          <w:sz w:val="18"/>
          <w:szCs w:val="18"/>
        </w:rPr>
        <w:t xml:space="preserve">9   </w:t>
      </w:r>
      <w:r>
        <w:rPr>
          <w:rFonts w:ascii="Calibri" w:hAnsi="Calibri" w:cs="Calibri"/>
          <w:b/>
          <w:color w:val="12352A"/>
          <w:sz w:val="22"/>
          <w:szCs w:val="22"/>
        </w:rPr>
        <w:t xml:space="preserve">Privacy, Confidentiality and Security</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9.1</w:t>
      </w:r>
      <w:r>
        <w:rPr>
          <w:rFonts w:ascii="Calibri" w:hAnsi="Calibri" w:cs="Calibri"/>
          <w:color w:val="242B27"/>
          <w:sz w:val="20"/>
          <w:szCs w:val="20"/>
        </w:rPr>
        <w:t xml:space="preserve">	</w:t>
      </w:r>
      <w:r>
        <w:rPr>
          <w:rFonts w:ascii="Calibri" w:hAnsi="Calibri" w:cs="Calibri"/>
          <w:color w:val="242B27"/>
          <w:sz w:val="20"/>
          <w:szCs w:val="20"/>
        </w:rPr>
        <w:t xml:space="preserve">Each party must collect, use, store and disclose personal information only for the referral, credit-service, payment, compliance and lawful record-keeping purposes.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9.2</w:t>
      </w:r>
      <w:r>
        <w:rPr>
          <w:rFonts w:ascii="Calibri" w:hAnsi="Calibri" w:cs="Calibri"/>
          <w:color w:val="242B27"/>
          <w:sz w:val="20"/>
          <w:szCs w:val="20"/>
        </w:rPr>
        <w:t xml:space="preserve">	</w:t>
      </w:r>
      <w:r>
        <w:rPr>
          <w:rFonts w:ascii="Calibri" w:hAnsi="Calibri" w:cs="Calibri"/>
          <w:color w:val="242B27"/>
          <w:sz w:val="20"/>
          <w:szCs w:val="20"/>
        </w:rPr>
        <w:t xml:space="preserve">Each party must protect non-public client, commercial and operational information and promptly notify the other of a material privacy or cyber incident affecting referred clients.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9.3</w:t>
      </w:r>
      <w:r>
        <w:rPr>
          <w:rFonts w:ascii="Calibri" w:hAnsi="Calibri" w:cs="Calibri"/>
          <w:color w:val="242B27"/>
          <w:sz w:val="20"/>
          <w:szCs w:val="20"/>
        </w:rPr>
        <w:t xml:space="preserve">	</w:t>
      </w:r>
      <w:r>
        <w:rPr>
          <w:rFonts w:ascii="Calibri" w:hAnsi="Calibri" w:cs="Calibri"/>
          <w:color w:val="242B27"/>
          <w:sz w:val="20"/>
          <w:szCs w:val="20"/>
        </w:rPr>
        <w:t xml:space="preserve">Banking and payment changes must be independently verified using a known contact method before processing.</w:t>
      </w:r>
    </w:p>
    <w:p>
      <w:pPr>
        <w:keepNext/>
        <w:spacing w:before="240" w:after="60" w:line="330" w:lineRule="auto"/>
      </w:pPr>
      <w:r>
        <w:rPr>
          <w:rFonts w:ascii="Consolas" w:hAnsi="Consolas" w:cs="Consolas"/>
          <w:color w:val="B4633A"/>
          <w:sz w:val="18"/>
          <w:szCs w:val="18"/>
        </w:rPr>
        <w:t xml:space="preserve">10   </w:t>
      </w:r>
      <w:r>
        <w:rPr>
          <w:rFonts w:ascii="Calibri" w:hAnsi="Calibri" w:cs="Calibri"/>
          <w:b/>
          <w:color w:val="12352A"/>
          <w:sz w:val="22"/>
          <w:szCs w:val="22"/>
        </w:rPr>
        <w:t xml:space="preserve">Client Relationships and Non-Circumvention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10.1</w:t>
      </w:r>
      <w:r>
        <w:rPr>
          <w:rFonts w:ascii="Calibri" w:hAnsi="Calibri" w:cs="Calibri"/>
          <w:color w:val="242B27"/>
          <w:sz w:val="20"/>
          <w:szCs w:val="20"/>
        </w:rPr>
        <w:t xml:space="preserve">	</w:t>
      </w:r>
      <w:r>
        <w:rPr>
          <w:rFonts w:ascii="Calibri" w:hAnsi="Calibri" w:cs="Calibri"/>
          <w:color w:val="242B27"/>
          <w:sz w:val="20"/>
          <w:szCs w:val="20"/>
        </w:rPr>
        <w:t xml:space="preserve">The Finance Partner retains responsibility for the credit relationship and the Buyer's Agency retains responsibility for the property-services relationship.</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10.2</w:t>
      </w:r>
      <w:r>
        <w:rPr>
          <w:rFonts w:ascii="Calibri" w:hAnsi="Calibri" w:cs="Calibri"/>
          <w:color w:val="242B27"/>
          <w:sz w:val="20"/>
          <w:szCs w:val="20"/>
        </w:rPr>
        <w:t xml:space="preserve">	</w:t>
      </w:r>
      <w:r>
        <w:rPr>
          <w:rFonts w:ascii="Calibri" w:hAnsi="Calibri" w:cs="Calibri"/>
          <w:color w:val="242B27"/>
          <w:sz w:val="20"/>
          <w:szCs w:val="20"/>
        </w:rPr>
        <w:t xml:space="preserve">Neither party may intentionally avoid an accrued commission-share entitlement or misrepresent the other party's services.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10.3</w:t>
      </w:r>
      <w:r>
        <w:rPr>
          <w:rFonts w:ascii="Calibri" w:hAnsi="Calibri" w:cs="Calibri"/>
          <w:color w:val="242B27"/>
          <w:sz w:val="20"/>
          <w:szCs w:val="20"/>
        </w:rPr>
        <w:t xml:space="preserve">	</w:t>
      </w:r>
      <w:r>
        <w:rPr>
          <w:rFonts w:ascii="Calibri" w:hAnsi="Calibri" w:cs="Calibri"/>
          <w:color w:val="242B27"/>
          <w:sz w:val="20"/>
          <w:szCs w:val="20"/>
        </w:rPr>
        <w:t xml:space="preserve">The client retains complete freedom to choose, change or cease using either service provider.</w:t>
      </w:r>
    </w:p>
    <w:p>
      <w:pPr>
        <w:keepNext/>
        <w:spacing w:before="240" w:after="60" w:line="330" w:lineRule="auto"/>
      </w:pPr>
      <w:r>
        <w:rPr>
          <w:rFonts w:ascii="Consolas" w:hAnsi="Consolas" w:cs="Consolas"/>
          <w:color w:val="B4633A"/>
          <w:sz w:val="18"/>
          <w:szCs w:val="18"/>
        </w:rPr>
        <w:t xml:space="preserve">11   </w:t>
      </w:r>
      <w:r>
        <w:rPr>
          <w:rFonts w:ascii="Calibri" w:hAnsi="Calibri" w:cs="Calibri"/>
          <w:b/>
          <w:color w:val="12352A"/>
          <w:sz w:val="22"/>
          <w:szCs w:val="22"/>
        </w:rPr>
        <w:t xml:space="preserve">Liability and Indemnity</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11.1</w:t>
      </w:r>
      <w:r>
        <w:rPr>
          <w:rFonts w:ascii="Calibri" w:hAnsi="Calibri" w:cs="Calibri"/>
          <w:color w:val="242B27"/>
          <w:sz w:val="20"/>
          <w:szCs w:val="20"/>
        </w:rPr>
        <w:t xml:space="preserve">	</w:t>
      </w:r>
      <w:r>
        <w:rPr>
          <w:rFonts w:ascii="Calibri" w:hAnsi="Calibri" w:cs="Calibri"/>
          <w:color w:val="242B27"/>
          <w:sz w:val="20"/>
          <w:szCs w:val="20"/>
        </w:rPr>
        <w:t xml:space="preserve">Each party remains responsible for its own conduct, advice, representations, employees, contractors and legal obligations.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11.2</w:t>
      </w:r>
      <w:r>
        <w:rPr>
          <w:rFonts w:ascii="Calibri" w:hAnsi="Calibri" w:cs="Calibri"/>
          <w:color w:val="242B27"/>
          <w:sz w:val="20"/>
          <w:szCs w:val="20"/>
        </w:rPr>
        <w:t xml:space="preserve">	</w:t>
      </w:r>
      <w:r>
        <w:rPr>
          <w:rFonts w:ascii="Calibri" w:hAnsi="Calibri" w:cs="Calibri"/>
          <w:color w:val="242B27"/>
          <w:sz w:val="20"/>
          <w:szCs w:val="20"/>
        </w:rPr>
        <w:t xml:space="preserve">To the extent permitted by law, each party indemnifies the other against third-party loss arising directly from its material breach, negligence, unlawful conduct or unauthorised representation.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11.3</w:t>
      </w:r>
      <w:r>
        <w:rPr>
          <w:rFonts w:ascii="Calibri" w:hAnsi="Calibri" w:cs="Calibri"/>
          <w:color w:val="242B27"/>
          <w:sz w:val="20"/>
          <w:szCs w:val="20"/>
        </w:rPr>
        <w:t xml:space="preserve">	</w:t>
      </w:r>
      <w:r>
        <w:rPr>
          <w:rFonts w:ascii="Calibri" w:hAnsi="Calibri" w:cs="Calibri"/>
          <w:color w:val="242B27"/>
          <w:sz w:val="20"/>
          <w:szCs w:val="20"/>
        </w:rPr>
        <w:t xml:space="preserve">The Buyer's Agency is not liable for a lender or Finance Partner decision, and the Finance Partner is not liable for a property recommendation or acquisition decision, except to the extent caused by its own breach or negligence.</w:t>
      </w:r>
    </w:p>
    <w:p>
      <w:pPr>
        <w:pageBreakBefore/>
        <w:keepNext/>
        <w:spacing w:before="0" w:after="40" w:line="330" w:lineRule="auto"/>
      </w:pPr>
      <w:r>
        <w:rPr>
          <w:rFonts w:ascii="Consolas" w:hAnsi="Consolas" w:cs="Consolas"/>
          <w:spacing w:val="10"/>
          <w:color w:val="B4633A"/>
          <w:sz w:val="18"/>
          <w:szCs w:val="18"/>
        </w:rPr>
        <w:t xml:space="preserve">12-13</w:t>
      </w:r>
    </w:p>
    <w:p>
      <w:pPr>
        <w:keepNext/>
        <w:spacing w:before="0" w:after="60" w:line="240" w:lineRule="auto"/>
      </w:pPr>
      <w:r>
        <w:rPr>
          <w:rFonts w:ascii="Georgia" w:hAnsi="Georgia" w:cs="Georgia"/>
          <w:color w:val="12352A"/>
          <w:sz w:val="52"/>
          <w:szCs w:val="52"/>
        </w:rPr>
        <w:t xml:space="preserve">Term, Termination &amp; General Provisions</w:t>
      </w:r>
    </w:p>
    <w:p>
      <w:pPr>
        <w:keepNext/>
        <w:pBdr>
          <w:bottom w:val="single" w:sz="12" w:space="2" w:color="12352A"/>
        </w:pBdr>
        <w:spacing w:before="0" w:after="220" w:line="330" w:lineRule="auto"/>
      </w:pPr>
      <w:r>
        <w:rPr>
          <w:rFonts w:ascii="Calibri" w:hAnsi="Calibri" w:cs="Calibri"/>
          <w:color w:val="6B7570"/>
          <w:sz w:val="18"/>
          <w:szCs w:val="18"/>
        </w:rPr>
        <w:t xml:space="preserve">Lifecycle, notices, disputes and governing law</w:t>
      </w:r>
    </w:p>
    <w:p>
      <w:pPr>
        <w:keepNext/>
        <w:spacing w:before="240" w:after="60" w:line="330" w:lineRule="auto"/>
      </w:pPr>
      <w:r>
        <w:rPr>
          <w:rFonts w:ascii="Consolas" w:hAnsi="Consolas" w:cs="Consolas"/>
          <w:color w:val="B4633A"/>
          <w:sz w:val="18"/>
          <w:szCs w:val="18"/>
        </w:rPr>
        <w:t xml:space="preserve">12   </w:t>
      </w:r>
      <w:r>
        <w:rPr>
          <w:rFonts w:ascii="Calibri" w:hAnsi="Calibri" w:cs="Calibri"/>
          <w:b/>
          <w:color w:val="12352A"/>
          <w:sz w:val="22"/>
          <w:szCs w:val="22"/>
        </w:rPr>
        <w:t xml:space="preserve">Term and Termination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12.1</w:t>
      </w:r>
      <w:r>
        <w:rPr>
          <w:rFonts w:ascii="Calibri" w:hAnsi="Calibri" w:cs="Calibri"/>
          <w:color w:val="242B27"/>
          <w:sz w:val="20"/>
          <w:szCs w:val="20"/>
        </w:rPr>
        <w:t xml:space="preserve">	</w:t>
      </w:r>
      <w:r>
        <w:rPr>
          <w:rFonts w:ascii="Calibri" w:hAnsi="Calibri" w:cs="Calibri"/>
          <w:color w:val="242B27"/>
          <w:sz w:val="20"/>
          <w:szCs w:val="20"/>
        </w:rPr>
        <w:t xml:space="preserve">This Agreement starts when signed by both parties and continues until terminated.</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12.2</w:t>
      </w:r>
      <w:r>
        <w:rPr>
          <w:rFonts w:ascii="Calibri" w:hAnsi="Calibri" w:cs="Calibri"/>
          <w:color w:val="242B27"/>
          <w:sz w:val="20"/>
          <w:szCs w:val="20"/>
        </w:rPr>
        <w:t xml:space="preserve">	</w:t>
      </w:r>
      <w:r>
        <w:rPr>
          <w:rFonts w:ascii="Calibri" w:hAnsi="Calibri" w:cs="Calibri"/>
          <w:color w:val="242B27"/>
          <w:sz w:val="20"/>
          <w:szCs w:val="20"/>
        </w:rPr>
        <w:t xml:space="preserve">Either party may terminate without cause by giving </w:t>
      </w:r>
      <w:r>
        <w:rPr>
          <w:rFonts w:ascii="Consolas" w:hAnsi="Consolas" w:cs="Consolas"/>
          <w:color w:val="8A6A2F"/>
          <w:sz w:val="17"/>
          <w:szCs w:val="17"/>
          <w:shd w:val="clear" w:color="auto" w:fill="FAF3E8"/>
        </w:rPr>
        <w:t xml:space="preserve">&lt;&lt;NUMBER&gt;&gt;</w:t>
      </w:r>
      <w:r>
        <w:rPr>
          <w:rFonts w:ascii="Calibri" w:hAnsi="Calibri" w:cs="Calibri"/>
          <w:color w:val="242B27"/>
          <w:sz w:val="20"/>
          <w:szCs w:val="20"/>
        </w:rPr>
        <w:t xml:space="preserve"> days' written notice.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12.3</w:t>
      </w:r>
      <w:r>
        <w:rPr>
          <w:rFonts w:ascii="Calibri" w:hAnsi="Calibri" w:cs="Calibri"/>
          <w:color w:val="242B27"/>
          <w:sz w:val="20"/>
          <w:szCs w:val="20"/>
        </w:rPr>
        <w:t xml:space="preserve">	</w:t>
      </w:r>
      <w:r>
        <w:rPr>
          <w:rFonts w:ascii="Calibri" w:hAnsi="Calibri" w:cs="Calibri"/>
          <w:color w:val="242B27"/>
          <w:sz w:val="20"/>
          <w:szCs w:val="20"/>
        </w:rPr>
        <w:t xml:space="preserve">A party may terminate immediately for an unremedied material breach after </w:t>
      </w:r>
      <w:r>
        <w:rPr>
          <w:rFonts w:ascii="Consolas" w:hAnsi="Consolas" w:cs="Consolas"/>
          <w:color w:val="8A6A2F"/>
          <w:sz w:val="17"/>
          <w:szCs w:val="17"/>
          <w:shd w:val="clear" w:color="auto" w:fill="FAF3E8"/>
        </w:rPr>
        <w:t xml:space="preserve">&lt;&lt;NUMBER&gt;&gt;</w:t>
      </w:r>
      <w:r>
        <w:rPr>
          <w:rFonts w:ascii="Calibri" w:hAnsi="Calibri" w:cs="Calibri"/>
          <w:color w:val="242B27"/>
          <w:sz w:val="20"/>
          <w:szCs w:val="20"/>
        </w:rPr>
        <w:t xml:space="preserve"> business days' notice, fraud, gross negligence, insolvency, loss of authorisation or material regulatory risk.</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12.4</w:t>
      </w:r>
      <w:r>
        <w:rPr>
          <w:rFonts w:ascii="Calibri" w:hAnsi="Calibri" w:cs="Calibri"/>
          <w:color w:val="242B27"/>
          <w:sz w:val="20"/>
          <w:szCs w:val="20"/>
        </w:rPr>
        <w:t xml:space="preserve">	</w:t>
      </w:r>
      <w:r>
        <w:rPr>
          <w:rFonts w:ascii="Calibri" w:hAnsi="Calibri" w:cs="Calibri"/>
          <w:color w:val="242B27"/>
          <w:sz w:val="20"/>
          <w:szCs w:val="20"/>
        </w:rPr>
        <w:t xml:space="preserve">Except where termination results from fraud, deliberate misconduct or an agreed exclusion, commission-share entitlements for qualifying referrals made before termination continue as specified in the Commission &amp; Payment Schedule.</w:t>
      </w:r>
    </w:p>
    <w:p>
      <w:pPr>
        <w:keepNext/>
        <w:spacing w:before="240" w:after="60" w:line="330" w:lineRule="auto"/>
      </w:pPr>
      <w:r>
        <w:rPr>
          <w:rFonts w:ascii="Consolas" w:hAnsi="Consolas" w:cs="Consolas"/>
          <w:color w:val="B4633A"/>
          <w:sz w:val="18"/>
          <w:szCs w:val="18"/>
        </w:rPr>
        <w:t xml:space="preserve">13   </w:t>
      </w:r>
      <w:r>
        <w:rPr>
          <w:rFonts w:ascii="Calibri" w:hAnsi="Calibri" w:cs="Calibri"/>
          <w:b/>
          <w:color w:val="12352A"/>
          <w:sz w:val="22"/>
          <w:szCs w:val="22"/>
        </w:rPr>
        <w:t xml:space="preserve">Notices, Disputes and General</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13.1</w:t>
      </w:r>
      <w:r>
        <w:rPr>
          <w:rFonts w:ascii="Calibri" w:hAnsi="Calibri" w:cs="Calibri"/>
          <w:color w:val="242B27"/>
          <w:sz w:val="20"/>
          <w:szCs w:val="20"/>
        </w:rPr>
        <w:t xml:space="preserve">	</w:t>
      </w:r>
      <w:r>
        <w:rPr>
          <w:rFonts w:ascii="Calibri" w:hAnsi="Calibri" w:cs="Calibri"/>
          <w:color w:val="242B27"/>
          <w:sz w:val="20"/>
          <w:szCs w:val="20"/>
        </w:rPr>
        <w:t xml:space="preserve">Notices must be in writing and sent to the contact details in the Agreement Details.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13.2</w:t>
      </w:r>
      <w:r>
        <w:rPr>
          <w:rFonts w:ascii="Calibri" w:hAnsi="Calibri" w:cs="Calibri"/>
          <w:color w:val="242B27"/>
          <w:sz w:val="20"/>
          <w:szCs w:val="20"/>
        </w:rPr>
        <w:t xml:space="preserve">	</w:t>
      </w:r>
      <w:r>
        <w:rPr>
          <w:rFonts w:ascii="Calibri" w:hAnsi="Calibri" w:cs="Calibri"/>
          <w:color w:val="242B27"/>
          <w:sz w:val="20"/>
          <w:szCs w:val="20"/>
        </w:rPr>
        <w:t xml:space="preserve">Senior representatives must attempt to resolve disputes in good faith before mediation or court proceedings, except for urgent relief.</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13.3</w:t>
      </w:r>
      <w:r>
        <w:rPr>
          <w:rFonts w:ascii="Calibri" w:hAnsi="Calibri" w:cs="Calibri"/>
          <w:color w:val="242B27"/>
          <w:sz w:val="20"/>
          <w:szCs w:val="20"/>
        </w:rPr>
        <w:t xml:space="preserve">	</w:t>
      </w:r>
      <w:r>
        <w:rPr>
          <w:rFonts w:ascii="Calibri" w:hAnsi="Calibri" w:cs="Calibri"/>
          <w:color w:val="242B27"/>
          <w:sz w:val="20"/>
          <w:szCs w:val="20"/>
        </w:rPr>
        <w:t xml:space="preserve">This Agreement and its completed schedules form the entire agreement and may only be varied in writing signed by both parties.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13.4</w:t>
      </w:r>
      <w:r>
        <w:rPr>
          <w:rFonts w:ascii="Calibri" w:hAnsi="Calibri" w:cs="Calibri"/>
          <w:color w:val="242B27"/>
          <w:sz w:val="20"/>
          <w:szCs w:val="20"/>
        </w:rPr>
        <w:t xml:space="preserve">	</w:t>
      </w:r>
      <w:r>
        <w:rPr>
          <w:rFonts w:ascii="Calibri" w:hAnsi="Calibri" w:cs="Calibri"/>
          <w:color w:val="242B27"/>
          <w:sz w:val="20"/>
          <w:szCs w:val="20"/>
        </w:rPr>
        <w:t xml:space="preserve">Neither party may assign this Agreement without written consent, except for an approved novation or genuine business restructure that preserves the other party's rights.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13.5</w:t>
      </w:r>
      <w:r>
        <w:rPr>
          <w:rFonts w:ascii="Calibri" w:hAnsi="Calibri" w:cs="Calibri"/>
          <w:color w:val="242B27"/>
          <w:sz w:val="20"/>
          <w:szCs w:val="20"/>
        </w:rPr>
        <w:t xml:space="preserve">	</w:t>
      </w:r>
      <w:r>
        <w:rPr>
          <w:rFonts w:ascii="Calibri" w:hAnsi="Calibri" w:cs="Calibri"/>
          <w:color w:val="242B27"/>
          <w:sz w:val="20"/>
          <w:szCs w:val="20"/>
        </w:rPr>
        <w:t xml:space="preserve">This Agreement is governed by the laws of </w:t>
      </w:r>
      <w:r>
        <w:rPr>
          <w:rFonts w:ascii="Consolas" w:hAnsi="Consolas" w:cs="Consolas"/>
          <w:color w:val="8A6A2F"/>
          <w:sz w:val="17"/>
          <w:szCs w:val="17"/>
          <w:shd w:val="clear" w:color="auto" w:fill="FAF3E8"/>
        </w:rPr>
        <w:t xml:space="preserve">&lt;&lt;INSERT&gt;&gt;</w:t>
      </w:r>
      <w:r>
        <w:rPr>
          <w:rFonts w:ascii="Calibri" w:hAnsi="Calibri" w:cs="Calibri"/>
          <w:color w:val="242B27"/>
          <w:sz w:val="20"/>
          <w:szCs w:val="20"/>
        </w:rPr>
        <w:t xml:space="preserve"> and the parties submit to the courts of that jurisdiction.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13.6</w:t>
      </w:r>
      <w:r>
        <w:rPr>
          <w:rFonts w:ascii="Calibri" w:hAnsi="Calibri" w:cs="Calibri"/>
          <w:color w:val="242B27"/>
          <w:sz w:val="20"/>
          <w:szCs w:val="20"/>
        </w:rPr>
        <w:t xml:space="preserve">	</w:t>
      </w:r>
      <w:r>
        <w:rPr>
          <w:rFonts w:ascii="Calibri" w:hAnsi="Calibri" w:cs="Calibri"/>
          <w:color w:val="242B27"/>
          <w:sz w:val="20"/>
          <w:szCs w:val="20"/>
        </w:rPr>
        <w:t xml:space="preserve">The Agreement may be signed electronically and in counterparts.</w:t>
      </w:r>
    </w:p>
    <w:p>
      <w:pPr>
        <w:pageBreakBefore/>
        <w:keepNext/>
        <w:spacing w:before="0" w:after="40" w:line="330" w:lineRule="auto"/>
      </w:pPr>
      <w:r>
        <w:rPr>
          <w:rFonts w:ascii="Consolas" w:hAnsi="Consolas" w:cs="Consolas"/>
          <w:spacing w:val="10"/>
          <w:color w:val="B4633A"/>
          <w:sz w:val="18"/>
          <w:szCs w:val="18"/>
        </w:rPr>
        <w:t xml:space="preserve">14</w:t>
      </w:r>
    </w:p>
    <w:p>
      <w:pPr>
        <w:keepNext/>
        <w:spacing w:before="0" w:after="60" w:line="240" w:lineRule="auto"/>
      </w:pPr>
      <w:r>
        <w:rPr>
          <w:rFonts w:ascii="Georgia" w:hAnsi="Georgia" w:cs="Georgia"/>
          <w:color w:val="12352A"/>
          <w:sz w:val="52"/>
          <w:szCs w:val="52"/>
        </w:rPr>
        <w:t xml:space="preserve">Execution</w:t>
      </w:r>
    </w:p>
    <w:p>
      <w:pPr>
        <w:keepNext/>
        <w:pBdr>
          <w:bottom w:val="single" w:sz="12" w:space="2" w:color="12352A"/>
        </w:pBdr>
        <w:spacing w:before="0" w:after="220" w:line="330" w:lineRule="auto"/>
      </w:pPr>
      <w:r>
        <w:rPr>
          <w:rFonts w:ascii="Calibri" w:hAnsi="Calibri" w:cs="Calibri"/>
          <w:color w:val="6B7570"/>
          <w:sz w:val="18"/>
          <w:szCs w:val="18"/>
        </w:rPr>
        <w:t xml:space="preserve">Electronic or wet signature  ·  Complete only after all schedules are final</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Execution note</w:t>
            </w:r>
          </w:p>
          <w:p>
            <w:pPr>
              <w:spacing w:before="0" w:after="0" w:line="330" w:lineRule="auto"/>
            </w:pPr>
            <w:r>
              <w:rPr>
                <w:rFonts w:ascii="Calibri" w:hAnsi="Calibri" w:cs="Calibri"/>
                <w:color w:val="3B443F"/>
                <w:sz w:val="18"/>
                <w:szCs w:val="18"/>
              </w:rPr>
              <w:t xml:space="preserve">Select the execution block appropriate to each entity. The parties may execute counterparts and use an approved electronic signature platform.</w:t>
            </w:r>
          </w:p>
        </w:tc>
      </w:tr>
    </w:tbl>
    <w:p>
      <w:pPr>
        <w:spacing w:before="0" w:after="180" w:line="330" w:lineRule="auto"/>
      </w:pPr>
    </w:p>
    <w:tbl>
      <w:tblPr>
        <w:tblW w:w="5000" w:type="pct"/>
        <w:tblLayout w:type="fixed"/>
        <w:tblCellMar>
          <w:top w:w="0" w:type="dxa"/>
          <w:left w:w="0" w:type="dxa"/>
          <w:bottom w:w="0" w:type="dxa"/>
          <w:right w:w="0" w:type="dxa"/>
        </w:tblCellMar>
      </w:tblPr>
      <w:tblGrid>
        <w:gridCol w:w="4812"/>
        <w:gridCol w:w="240"/>
        <w:gridCol w:w="4812"/>
      </w:tblGrid>
      <w:tr>
        <w:tc>
          <w:tcPr>
            <w:tcW w:w="4812" w:type="dxa"/>
            <w:tcBorders>
              <w:top w:val="single" w:sz="4" w:space="0" w:color="E2DED6"/>
              <w:bottom w:val="single" w:sz="4" w:space="0" w:color="E2DED6"/>
              <w:left w:val="single" w:sz="4" w:space="0" w:color="E2DED6"/>
              <w:right w:val="single" w:sz="4" w:space="0" w:color="E2DED6"/>
            </w:tcBorders>
            <w:tcMar>
              <w:top w:w="280" w:type="dxa"/>
              <w:left w:w="300" w:type="dxa"/>
              <w:bottom w:w="300" w:type="dxa"/>
              <w:right w:w="300" w:type="dxa"/>
            </w:tcMar>
          </w:tcPr>
          <w:p>
            <w:pPr>
              <w:pBdr>
                <w:bottom w:val="single" w:sz="8" w:space="2" w:color="12352A"/>
              </w:pBdr>
              <w:spacing w:before="0" w:after="140" w:line="330" w:lineRule="auto"/>
            </w:pPr>
            <w:r>
              <w:rPr>
                <w:rFonts w:ascii="Consolas" w:hAnsi="Consolas" w:cs="Consolas"/>
                <w:caps/>
                <w:spacing w:val="14"/>
                <w:color w:val="12352A"/>
                <w:sz w:val="15"/>
                <w:szCs w:val="15"/>
              </w:rPr>
              <w:t xml:space="preserve">Signed for the finance partner</w:t>
            </w:r>
          </w:p>
          <w:p>
            <w:pPr>
              <w:spacing w:before="0" w:after="100" w:line="300" w:lineRule="auto"/>
            </w:pPr>
            <w:r>
              <w:rPr>
                <w:rFonts w:ascii="Calibri" w:hAnsi="Calibri" w:cs="Calibri"/>
                <w:color w:val="3B443F"/>
                <w:sz w:val="19"/>
                <w:szCs w:val="19"/>
              </w:rPr>
              <w:t xml:space="preserve">Legal entity: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Name of signatory: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Title / capacity: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Signature:</w:t>
            </w:r>
            <w:r>
              <w:rPr>
                <w:rFonts w:ascii="Calibri" w:hAnsi="Calibri" w:cs="Calibri"/>
                <w:color w:val="B7BEB9"/>
                <w:sz w:val="19"/>
                <w:szCs w:val="19"/>
              </w:rPr>
              <w:t xml:space="preserve"> ______________________________</w:t>
            </w:r>
          </w:p>
          <w:p>
            <w:pPr>
              <w:spacing w:before="0" w:after="100" w:line="300" w:lineRule="auto"/>
            </w:pPr>
            <w:r>
              <w:rPr>
                <w:rFonts w:ascii="Calibri" w:hAnsi="Calibri" w:cs="Calibri"/>
                <w:color w:val="3B443F"/>
                <w:sz w:val="19"/>
                <w:szCs w:val="19"/>
              </w:rPr>
              <w:t xml:space="preserve">Date:</w:t>
            </w:r>
            <w:r>
              <w:rPr>
                <w:rFonts w:ascii="Calibri" w:hAnsi="Calibri" w:cs="Calibri"/>
                <w:color w:val="B7BEB9"/>
                <w:sz w:val="19"/>
                <w:szCs w:val="19"/>
              </w:rPr>
              <w:t xml:space="preserve"> ____ / ____ / ______</w:t>
            </w:r>
          </w:p>
          <w:p>
            <w:pPr>
              <w:spacing w:before="0" w:after="100" w:line="300" w:lineRule="auto"/>
            </w:pPr>
            <w:r>
              <w:rPr>
                <w:rFonts w:ascii="Calibri" w:hAnsi="Calibri" w:cs="Calibri"/>
                <w:color w:val="3B443F"/>
                <w:sz w:val="19"/>
                <w:szCs w:val="19"/>
              </w:rPr>
              <w:t xml:space="preserve">Witness (if required):</w:t>
            </w:r>
            <w:r>
              <w:rPr>
                <w:rFonts w:ascii="Calibri" w:hAnsi="Calibri" w:cs="Calibri"/>
                <w:color w:val="B7BEB9"/>
                <w:sz w:val="19"/>
                <w:szCs w:val="19"/>
              </w:rPr>
              <w:t xml:space="preserve"> __________________</w:t>
            </w:r>
          </w:p>
        </w:tc>
        <w:tc>
          <w:tcPr>
            <w:tcW w:w="240" w:type="dxa"/>
          </w:tcPr>
          <w:p>
            <w:pPr>
              <w:spacing w:before="0" w:after="80" w:line="330" w:lineRule="auto"/>
            </w:pPr>
          </w:p>
        </w:tc>
        <w:tc>
          <w:tcPr>
            <w:tcW w:w="4812" w:type="dxa"/>
            <w:tcBorders>
              <w:top w:val="single" w:sz="4" w:space="0" w:color="E2DED6"/>
              <w:bottom w:val="single" w:sz="4" w:space="0" w:color="E2DED6"/>
              <w:left w:val="single" w:sz="4" w:space="0" w:color="E2DED6"/>
              <w:right w:val="single" w:sz="4" w:space="0" w:color="E2DED6"/>
            </w:tcBorders>
            <w:tcMar>
              <w:top w:w="280" w:type="dxa"/>
              <w:left w:w="300" w:type="dxa"/>
              <w:bottom w:w="300" w:type="dxa"/>
              <w:right w:w="300" w:type="dxa"/>
            </w:tcMar>
          </w:tcPr>
          <w:p>
            <w:pPr>
              <w:pBdr>
                <w:bottom w:val="single" w:sz="8" w:space="2" w:color="12352A"/>
              </w:pBdr>
              <w:spacing w:before="0" w:after="140" w:line="330" w:lineRule="auto"/>
            </w:pPr>
            <w:r>
              <w:rPr>
                <w:rFonts w:ascii="Consolas" w:hAnsi="Consolas" w:cs="Consolas"/>
                <w:caps/>
                <w:spacing w:val="14"/>
                <w:color w:val="12352A"/>
                <w:sz w:val="15"/>
                <w:szCs w:val="15"/>
              </w:rPr>
              <w:t xml:space="preserve">Signed for the buyer's agency / referrer</w:t>
            </w:r>
          </w:p>
          <w:p>
            <w:pPr>
              <w:spacing w:before="0" w:after="100" w:line="300" w:lineRule="auto"/>
            </w:pPr>
            <w:r>
              <w:rPr>
                <w:rFonts w:ascii="Calibri" w:hAnsi="Calibri" w:cs="Calibri"/>
                <w:color w:val="3B443F"/>
                <w:sz w:val="19"/>
                <w:szCs w:val="19"/>
              </w:rPr>
              <w:t xml:space="preserve">Legal entity: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Name of signatory: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Title / capacity: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Signature:</w:t>
            </w:r>
            <w:r>
              <w:rPr>
                <w:rFonts w:ascii="Calibri" w:hAnsi="Calibri" w:cs="Calibri"/>
                <w:color w:val="B7BEB9"/>
                <w:sz w:val="19"/>
                <w:szCs w:val="19"/>
              </w:rPr>
              <w:t xml:space="preserve"> ______________________________</w:t>
            </w:r>
          </w:p>
          <w:p>
            <w:pPr>
              <w:spacing w:before="0" w:after="100" w:line="300" w:lineRule="auto"/>
            </w:pPr>
            <w:r>
              <w:rPr>
                <w:rFonts w:ascii="Calibri" w:hAnsi="Calibri" w:cs="Calibri"/>
                <w:color w:val="3B443F"/>
                <w:sz w:val="19"/>
                <w:szCs w:val="19"/>
              </w:rPr>
              <w:t xml:space="preserve">Date:</w:t>
            </w:r>
            <w:r>
              <w:rPr>
                <w:rFonts w:ascii="Calibri" w:hAnsi="Calibri" w:cs="Calibri"/>
                <w:color w:val="B7BEB9"/>
                <w:sz w:val="19"/>
                <w:szCs w:val="19"/>
              </w:rPr>
              <w:t xml:space="preserve"> ____ / ____ / ______</w:t>
            </w:r>
          </w:p>
          <w:p>
            <w:pPr>
              <w:spacing w:before="0" w:after="100" w:line="300" w:lineRule="auto"/>
            </w:pPr>
            <w:r>
              <w:rPr>
                <w:rFonts w:ascii="Calibri" w:hAnsi="Calibri" w:cs="Calibri"/>
                <w:color w:val="3B443F"/>
                <w:sz w:val="19"/>
                <w:szCs w:val="19"/>
              </w:rPr>
              <w:t xml:space="preserve">Witness (if required):</w:t>
            </w:r>
            <w:r>
              <w:rPr>
                <w:rFonts w:ascii="Calibri" w:hAnsi="Calibri" w:cs="Calibri"/>
                <w:color w:val="B7BEB9"/>
                <w:sz w:val="19"/>
                <w:szCs w:val="19"/>
              </w:rPr>
              <w:t xml:space="preserve"> __________________</w:t>
            </w:r>
          </w:p>
        </w:tc>
      </w:tr>
    </w:tbl>
    <w:p>
      <w:pPr>
        <w:spacing w:before="0" w:after="140" w:line="330" w:lineRule="auto"/>
      </w:pPr>
    </w:p>
    <w:p>
      <w:pPr>
        <w:pBdr>
          <w:top w:val="single" w:sz="12" w:space="2" w:color="12352A"/>
        </w:pBdr>
        <w:spacing w:before="180" w:after="40" w:line="330" w:lineRule="auto"/>
      </w:pPr>
      <w:r>
        <w:rPr>
          <w:rFonts w:ascii="Calibri" w:hAnsi="Calibri" w:cs="Calibri"/>
          <w:b/>
          <w:color w:val="12352A"/>
          <w:sz w:val="19"/>
          <w:szCs w:val="19"/>
        </w:rPr>
        <w:t xml:space="preserve">Optional company execution under section 127 of the Corporations Act 2001 (Cth):</w:t>
      </w:r>
    </w:p>
    <w:p>
      <w:pPr>
        <w:spacing w:before="0" w:after="180" w:line="330" w:lineRule="auto"/>
      </w:pPr>
      <w:r>
        <w:rPr>
          <w:rFonts w:ascii="Calibri" w:hAnsi="Calibri" w:cs="Calibri"/>
          <w:color w:val="6B7570"/>
          <w:sz w:val="18"/>
          <w:szCs w:val="18"/>
        </w:rPr>
        <w:t xml:space="preserve">Use the block below only where it is appropriate for the executing entity and approved by the relevant advisers.</w:t>
      </w: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Director / sole director</w:t>
            </w:r>
          </w:p>
        </w:tc>
        <w:tc>
          <w:tcPr>
            <w:tcW w:w="2664" w:type="dxa"/>
            <w:tcBorders>
              <w:top w:val="single" w:sz="4" w:space="0" w:color="E2DED6"/>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&lt;&lt;NAME AND SIGNATURE&gt;&gt;</w:t>
            </w:r>
          </w:p>
        </w:tc>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Director / company secretary</w:t>
            </w:r>
          </w:p>
        </w:tc>
        <w:tc>
          <w:tcPr>
            <w:tcW w:w="2664" w:type="dxa"/>
            <w:tcBorders>
              <w:top w:val="single" w:sz="4" w:space="0" w:color="E2DED6"/>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&lt;&lt;NAME AND SIGNATURE OR N/A&gt;&gt;</w:t>
            </w:r>
          </w:p>
        </w:tc>
      </w:tr>
    </w:tbl>
    <w:p>
      <w:pPr>
        <w:pageBreakBefore/>
        <w:keepNext/>
        <w:spacing w:before="0" w:after="40" w:line="330" w:lineRule="auto"/>
      </w:pPr>
      <w:r>
        <w:rPr>
          <w:rFonts w:ascii="Consolas" w:hAnsi="Consolas" w:cs="Consolas"/>
          <w:spacing w:val="10"/>
          <w:color w:val="B4633A"/>
          <w:sz w:val="18"/>
          <w:szCs w:val="18"/>
        </w:rPr>
        <w:t xml:space="preserve">A</w:t>
      </w:r>
    </w:p>
    <w:p>
      <w:pPr>
        <w:keepNext/>
        <w:spacing w:before="0" w:after="60" w:line="240" w:lineRule="auto"/>
      </w:pPr>
      <w:r>
        <w:rPr>
          <w:rFonts w:ascii="Georgia" w:hAnsi="Georgia" w:cs="Georgia"/>
          <w:color w:val="12352A"/>
          <w:sz w:val="52"/>
          <w:szCs w:val="52"/>
        </w:rPr>
        <w:t xml:space="preserve">Client Referral &amp; Consent Form</w:t>
      </w:r>
    </w:p>
    <w:p>
      <w:pPr>
        <w:keepNext/>
        <w:pBdr>
          <w:bottom w:val="single" w:sz="12" w:space="2" w:color="12352A"/>
        </w:pBdr>
        <w:spacing w:before="0" w:after="220" w:line="330" w:lineRule="auto"/>
      </w:pPr>
      <w:r>
        <w:rPr>
          <w:rFonts w:ascii="Calibri" w:hAnsi="Calibri" w:cs="Calibri"/>
          <w:color w:val="6B7570"/>
          <w:sz w:val="18"/>
          <w:szCs w:val="18"/>
        </w:rPr>
        <w:t xml:space="preserve">Buyer's agency to finance partner  ·  Client-authorised introduction record</w:t>
      </w: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Referral ID</w:t>
            </w:r>
          </w:p>
        </w:tc>
        <w:tc>
          <w:tcPr>
            <w:tcW w:w="2664" w:type="dxa"/>
            <w:tcBorders>
              <w:top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&lt;&lt;AUTO-GENERATED OR INSERT&gt;&gt;</w:t>
            </w:r>
          </w:p>
        </w:tc>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Referral date</w:t>
            </w:r>
          </w:p>
        </w:tc>
        <w:tc>
          <w:tcPr>
            <w:tcW w:w="2664" w:type="dxa"/>
            <w:tcBorders>
              <w:top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&lt;&lt;DATE&gt;&gt;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Buyer's agency</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&lt;&lt;LEGAL / TRADING NAME&gt;&gt;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Referring representative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&lt;&lt;NAME&gt;&gt;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Finance partner</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&lt;&lt;LEGAL / TRADING NAME&gt;&gt;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Assigned broker / loan writer</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&lt;&lt;NAME AND CRN&gt;&gt;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Client name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&lt;&lt;CLIENT NAME&gt;&gt;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Client contact details</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&lt;&lt;PHONE AND EMAIL&gt;&gt;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General credit purpose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&lt;&lt;PURCHASE / REFINANCE / EQUITY / OTHER&gt;&gt;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Preferred contact time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Written consent obtained</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alibri" w:hAnsi="Calibri" w:cs="Calibri"/>
                <w:color w:val="242B27"/>
                <w:sz w:val="19"/>
                <w:szCs w:val="19"/>
              </w:rPr>
              <w:t xml:space="preserve">☐  Yes</w:t>
            </w:r>
          </w:p>
          <w:p>
            <w:pPr>
              <w:spacing w:before="0" w:after="0" w:line="330" w:lineRule="auto"/>
            </w:pPr>
            <w:r>
              <w:rPr>
                <w:rFonts w:ascii="Calibri" w:hAnsi="Calibri" w:cs="Calibri"/>
                <w:color w:val="242B27"/>
                <w:sz w:val="19"/>
                <w:szCs w:val="19"/>
              </w:rPr>
              <w:t xml:space="preserve">☐  No</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Referral benefit disclosed</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  Yes</w:t>
            </w:r>
          </w:p>
          <w:p>
            <w:pPr>
              <w:spacing w:before="0" w:after="0" w:line="330" w:lineRule="auto"/>
            </w:pPr>
            <w:r>
              <w:rPr>
                <w:rFonts w:ascii="Calibri" w:hAnsi="Calibri" w:cs="Calibri"/>
                <w:color w:val="242B27"/>
                <w:sz w:val="19"/>
                <w:szCs w:val="19"/>
              </w:rPr>
              <w:t xml:space="preserve">☐  No</w:t>
            </w:r>
          </w:p>
          <w:p>
            <w:pPr>
              <w:spacing w:before="0" w:after="0" w:line="330" w:lineRule="auto"/>
            </w:pPr>
            <w:r>
              <w:rPr>
                <w:rFonts w:ascii="Calibri" w:hAnsi="Calibri" w:cs="Calibri"/>
                <w:color w:val="242B27"/>
                <w:sz w:val="19"/>
                <w:szCs w:val="19"/>
              </w:rPr>
              <w:t xml:space="preserve">☐  No benefit</w:t>
            </w:r>
          </w:p>
        </w:tc>
      </w:tr>
      <w:tr>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Information provided</w:t>
            </w:r>
          </w:p>
        </w:tc>
        <w:tc>
          <w:tcPr>
            <w:tcW w:w="2664" w:type="dxa"/>
            <w:tcBorders>
              <w:top w:val="single" w:sz="4" w:space="0" w:color="EDEAE3"/>
              <w:bottom w:val="single" w:sz="4" w:space="0" w:color="E2DED6"/>
            </w:tcBorders>
            <w:tcMar>
              <w:top w:w="200" w:type="dxa"/>
              <w:left w:w="0" w:type="dxa"/>
              <w:bottom w:w="200" w:type="dxa"/>
              <w:right w:w="260" w:type="dxa"/>
            </w:tcMar>
          </w:tcPr>
          <w:p>
            <w:pPr>
              <w:spacing w:before="0" w:after="0" w:line="330" w:lineRule="auto"/>
            </w:pPr>
            <w:r>
              <w:rPr>
                <w:rFonts w:ascii="Calibri" w:hAnsi="Calibri" w:cs="Calibri"/>
                <w:color w:val="242B27"/>
                <w:sz w:val="19"/>
                <w:szCs w:val="19"/>
              </w:rPr>
              <w:t xml:space="preserve">☐  Name</w:t>
            </w:r>
          </w:p>
          <w:p>
            <w:pPr>
              <w:spacing w:before="0" w:after="0" w:line="330" w:lineRule="auto"/>
            </w:pPr>
            <w:r>
              <w:rPr>
                <w:rFonts w:ascii="Calibri" w:hAnsi="Calibri" w:cs="Calibri"/>
                <w:color w:val="242B27"/>
                <w:sz w:val="19"/>
                <w:szCs w:val="19"/>
              </w:rPr>
              <w:t xml:space="preserve">☐  Contact details</w:t>
            </w:r>
          </w:p>
          <w:p>
            <w:pPr>
              <w:spacing w:before="0" w:after="0" w:line="330" w:lineRule="auto"/>
            </w:pPr>
            <w:r>
              <w:rPr>
                <w:rFonts w:ascii="Calibri" w:hAnsi="Calibri" w:cs="Calibri"/>
                <w:color w:val="242B27"/>
                <w:sz w:val="19"/>
                <w:szCs w:val="19"/>
              </w:rPr>
              <w:t xml:space="preserve">☐  General purpose only</w:t>
            </w:r>
          </w:p>
        </w:tc>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Current status</w:t>
            </w:r>
          </w:p>
        </w:tc>
        <w:tc>
          <w:tcPr>
            <w:tcW w:w="2664" w:type="dxa"/>
            <w:tcBorders>
              <w:top w:val="single" w:sz="4" w:space="0" w:color="EDEAE3"/>
              <w:bottom w:val="single" w:sz="4" w:space="0" w:color="E2DED6"/>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  Submitted</w:t>
            </w:r>
          </w:p>
          <w:p>
            <w:pPr>
              <w:spacing w:before="0" w:after="0" w:line="330" w:lineRule="auto"/>
            </w:pPr>
            <w:r>
              <w:rPr>
                <w:rFonts w:ascii="Calibri" w:hAnsi="Calibri" w:cs="Calibri"/>
                <w:color w:val="242B27"/>
                <w:sz w:val="19"/>
                <w:szCs w:val="19"/>
              </w:rPr>
              <w:t xml:space="preserve">☐  Accepted</w:t>
            </w:r>
          </w:p>
          <w:p>
            <w:pPr>
              <w:spacing w:before="0" w:after="0" w:line="330" w:lineRule="auto"/>
            </w:pPr>
            <w:r>
              <w:rPr>
                <w:rFonts w:ascii="Calibri" w:hAnsi="Calibri" w:cs="Calibri"/>
                <w:color w:val="242B27"/>
                <w:sz w:val="19"/>
                <w:szCs w:val="19"/>
              </w:rPr>
              <w:t xml:space="preserve">☐  Contacted</w:t>
            </w:r>
          </w:p>
          <w:p>
            <w:pPr>
              <w:spacing w:before="0" w:after="0" w:line="330" w:lineRule="auto"/>
            </w:pPr>
            <w:r>
              <w:rPr>
                <w:rFonts w:ascii="Calibri" w:hAnsi="Calibri" w:cs="Calibri"/>
                <w:color w:val="242B27"/>
                <w:sz w:val="19"/>
                <w:szCs w:val="19"/>
              </w:rPr>
              <w:t xml:space="preserve">☐  Application</w:t>
            </w:r>
          </w:p>
          <w:p>
            <w:pPr>
              <w:spacing w:before="0" w:after="0" w:line="330" w:lineRule="auto"/>
            </w:pPr>
            <w:r>
              <w:rPr>
                <w:rFonts w:ascii="Calibri" w:hAnsi="Calibri" w:cs="Calibri"/>
                <w:color w:val="242B27"/>
                <w:sz w:val="19"/>
                <w:szCs w:val="19"/>
              </w:rPr>
              <w:t xml:space="preserve">☐  Approved</w:t>
            </w:r>
          </w:p>
          <w:p>
            <w:pPr>
              <w:spacing w:before="0" w:after="0" w:line="330" w:lineRule="auto"/>
            </w:pPr>
            <w:r>
              <w:rPr>
                <w:rFonts w:ascii="Calibri" w:hAnsi="Calibri" w:cs="Calibri"/>
                <w:color w:val="242B27"/>
                <w:sz w:val="19"/>
                <w:szCs w:val="19"/>
              </w:rPr>
              <w:t xml:space="preserve">☐  Settled</w:t>
            </w:r>
          </w:p>
        </w:tc>
      </w:tr>
    </w:tbl>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260" w:type="dxa"/>
              <w:left w:w="300" w:type="dxa"/>
              <w:bottom w:w="280" w:type="dxa"/>
              <w:right w:w="300" w:type="dxa"/>
            </w:tcMar>
          </w:tcPr>
          <w:p>
            <w:pPr>
              <w:spacing w:before="0" w:after="80" w:line="330" w:lineRule="auto"/>
            </w:pPr>
            <w:r>
              <w:rPr>
                <w:rFonts w:ascii="Consolas" w:hAnsi="Consolas" w:cs="Consolas"/>
                <w:caps/>
                <w:spacing w:val="16"/>
                <w:color w:val="C9B78E"/>
                <w:sz w:val="14"/>
                <w:szCs w:val="14"/>
              </w:rPr>
              <w:t xml:space="preserve">Client consent</w:t>
            </w:r>
          </w:p>
          <w:p>
            <w:pPr>
              <w:spacing w:before="0" w:after="0" w:line="330" w:lineRule="auto"/>
            </w:pPr>
            <w:r>
              <w:rPr>
                <w:rFonts w:ascii="Calibri" w:hAnsi="Calibri" w:cs="Calibri"/>
                <w:color w:val="E7EAE6"/>
                <w:sz w:val="19"/>
                <w:szCs w:val="19"/>
              </w:rPr>
              <w:t xml:space="preserve">I consent to </w:t>
            </w:r>
            <w:r>
              <w:rPr>
                <w:rFonts w:ascii="Consolas" w:hAnsi="Consolas" w:cs="Consolas"/>
                <w:color w:val="8A6A2F"/>
                <w:sz w:val="17"/>
                <w:szCs w:val="17"/>
              </w:rPr>
              <w:t xml:space="preserve">&lt;&lt; BUYERS AGENT PARTNER NAME&gt;&gt;</w:t>
            </w:r>
            <w:r>
              <w:rPr>
                <w:rFonts w:ascii="Calibri" w:hAnsi="Calibri" w:cs="Calibri"/>
                <w:color w:val="E7EAE6"/>
                <w:sz w:val="19"/>
                <w:szCs w:val="19"/>
              </w:rPr>
              <w:t xml:space="preserve"> providing my name, contact details and general credit purpose to </w:t>
            </w:r>
            <w:r>
              <w:rPr>
                <w:rFonts w:ascii="Consolas" w:hAnsi="Consolas" w:cs="Consolas"/>
                <w:color w:val="8A6A2F"/>
                <w:sz w:val="17"/>
                <w:szCs w:val="17"/>
              </w:rPr>
              <w:t xml:space="preserve">&lt;&lt;FINANCE PARTNER NAME&gt;&gt;</w:t>
            </w:r>
            <w:r>
              <w:rPr>
                <w:rFonts w:ascii="Calibri" w:hAnsi="Calibri" w:cs="Calibri"/>
                <w:color w:val="E7EAE6"/>
                <w:sz w:val="19"/>
                <w:szCs w:val="19"/>
              </w:rPr>
              <w:t xml:space="preserve"> so that the finance partner may contact me about potential credit services. I understand that the buyer’s agency may receive a referral payment or commission share if my loan settles, as disclosed to me. I remain free to choose another finance provider and no approval or lending outcome is guaranteed.</w:t>
            </w:r>
          </w:p>
        </w:tc>
      </w:tr>
    </w:tbl>
    <w:p>
      <w:pPr>
        <w:spacing w:before="0" w:after="160" w:line="330" w:lineRule="auto"/>
      </w:pP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Client signature</w:t>
            </w:r>
          </w:p>
        </w:tc>
        <w:tc>
          <w:tcPr>
            <w:tcW w:w="2664" w:type="dxa"/>
            <w:tcBorders>
              <w:top w:val="single" w:sz="4" w:space="0" w:color="E2DED6"/>
              <w:bottom w:val="single" w:sz="4" w:space="0" w:color="E2DED6"/>
            </w:tcBorders>
            <w:tcMar>
              <w:top w:w="200" w:type="dxa"/>
              <w:left w:w="0" w:type="dxa"/>
              <w:bottom w:w="200" w:type="dxa"/>
              <w:right w:w="260" w:type="dxa"/>
            </w:tcMar>
          </w:tcPr>
          <w:p>
            <w:pPr>
              <w:spacing w:before="0" w:after="0" w:line="330" w:lineRule="auto"/>
            </w:pPr>
            <w:r>
              <w:rPr>
                <w:rFonts w:ascii="Calibri" w:hAnsi="Calibri" w:cs="Calibri"/>
                <w:color w:val="242B27"/>
                <w:sz w:val="19"/>
                <w:szCs w:val="19"/>
              </w:rPr>
              <w:t xml:space="preserve">______________________________</w:t>
            </w:r>
          </w:p>
        </w:tc>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Date</w:t>
            </w:r>
          </w:p>
        </w:tc>
        <w:tc>
          <w:tcPr>
            <w:tcW w:w="2664" w:type="dxa"/>
            <w:tcBorders>
              <w:top w:val="single" w:sz="4" w:space="0" w:color="E2DED6"/>
              <w:bottom w:val="single" w:sz="4" w:space="0" w:color="E2DED6"/>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____ / ____ / ______</w:t>
            </w:r>
          </w:p>
        </w:tc>
      </w:tr>
    </w:tbl>
    <w:p>
      <w:pPr>
        <w:pageBreakBefore/>
        <w:keepNext/>
        <w:spacing w:before="0" w:after="40" w:line="330" w:lineRule="auto"/>
      </w:pPr>
      <w:r>
        <w:rPr>
          <w:rFonts w:ascii="Consolas" w:hAnsi="Consolas" w:cs="Consolas"/>
          <w:spacing w:val="10"/>
          <w:color w:val="B4633A"/>
          <w:sz w:val="18"/>
          <w:szCs w:val="18"/>
        </w:rPr>
        <w:t xml:space="preserve">B</w:t>
      </w:r>
    </w:p>
    <w:p>
      <w:pPr>
        <w:keepNext/>
        <w:spacing w:before="0" w:after="60" w:line="240" w:lineRule="auto"/>
      </w:pPr>
      <w:r>
        <w:rPr>
          <w:rFonts w:ascii="Georgia" w:hAnsi="Georgia" w:cs="Georgia"/>
          <w:color w:val="12352A"/>
          <w:sz w:val="52"/>
          <w:szCs w:val="52"/>
        </w:rPr>
        <w:t xml:space="preserve">Loan Writer / Authorised Representative Undertaking</w:t>
      </w:r>
    </w:p>
    <w:p>
      <w:pPr>
        <w:keepNext/>
        <w:pBdr>
          <w:bottom w:val="single" w:sz="12" w:space="2" w:color="12352A"/>
        </w:pBdr>
        <w:spacing w:before="0" w:after="220" w:line="330" w:lineRule="auto"/>
      </w:pPr>
      <w:r>
        <w:rPr>
          <w:rFonts w:ascii="Calibri" w:hAnsi="Calibri" w:cs="Calibri"/>
          <w:color w:val="6B7570"/>
          <w:sz w:val="18"/>
          <w:szCs w:val="18"/>
        </w:rPr>
        <w:t xml:space="preserve">Supporting execution where an individual adviser services referrals  ·  Link to the main agreement and authorisation</w:t>
      </w: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Finance partner legal entity</w:t>
            </w:r>
          </w:p>
        </w:tc>
        <w:tc>
          <w:tcPr>
            <w:tcW w:w="2664" w:type="dxa"/>
            <w:tcBorders>
              <w:top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ACL / authorising licensee</w:t>
            </w:r>
          </w:p>
        </w:tc>
        <w:tc>
          <w:tcPr>
            <w:tcW w:w="2664" w:type="dxa"/>
            <w:tcBorders>
              <w:top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 OR N/A&gt;&gt;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Loan writer / representative entity</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Credit representative number</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Buyer's agency / referrer</w:t>
            </w:r>
          </w:p>
        </w:tc>
        <w:tc>
          <w:tcPr>
            <w:tcW w:w="2664" w:type="dxa"/>
            <w:tcBorders>
              <w:top w:val="single" w:sz="4" w:space="0" w:color="EDEAE3"/>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&lt;&lt;BUYER'S AGENCY NAME&gt;&gt;</w:t>
            </w:r>
          </w:p>
        </w:tc>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Main agreement date</w:t>
            </w:r>
          </w:p>
        </w:tc>
        <w:tc>
          <w:tcPr>
            <w:tcW w:w="2664" w:type="dxa"/>
            <w:tcBorders>
              <w:top w:val="single" w:sz="4" w:space="0" w:color="EDEAE3"/>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&lt;&lt;DATE&gt;&gt;</w:t>
            </w:r>
          </w:p>
        </w:tc>
      </w:tr>
    </w:tbl>
    <w:p>
      <w:pPr>
        <w:keepNext/>
        <w:spacing w:before="240" w:after="60" w:line="330" w:lineRule="auto"/>
      </w:pPr>
      <w:r>
        <w:rPr>
          <w:rFonts w:ascii="Consolas" w:hAnsi="Consolas" w:cs="Consolas"/>
          <w:color w:val="B4633A"/>
          <w:sz w:val="18"/>
          <w:szCs w:val="18"/>
        </w:rPr>
        <w:t xml:space="preserve">B1   </w:t>
      </w:r>
      <w:r>
        <w:rPr>
          <w:rFonts w:ascii="Calibri" w:hAnsi="Calibri" w:cs="Calibri"/>
          <w:b/>
          <w:color w:val="12352A"/>
          <w:sz w:val="22"/>
          <w:szCs w:val="22"/>
        </w:rPr>
        <w:t xml:space="preserve">Purpose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B1.1</w:t>
      </w:r>
      <w:r>
        <w:rPr>
          <w:rFonts w:ascii="Calibri" w:hAnsi="Calibri" w:cs="Calibri"/>
          <w:color w:val="242B27"/>
          <w:sz w:val="20"/>
          <w:szCs w:val="20"/>
        </w:rPr>
        <w:t xml:space="preserve">	</w:t>
      </w:r>
      <w:r>
        <w:rPr>
          <w:rFonts w:ascii="Calibri" w:hAnsi="Calibri" w:cs="Calibri"/>
          <w:color w:val="242B27"/>
          <w:sz w:val="20"/>
          <w:szCs w:val="20"/>
        </w:rPr>
        <w:t xml:space="preserve">The Loan Writer acknowledges that the Buyer's Agency and the Finance Partner have entered into the Referral &amp; Commission Agreement identified above.</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B1.2</w:t>
      </w:r>
      <w:r>
        <w:rPr>
          <w:rFonts w:ascii="Calibri" w:hAnsi="Calibri" w:cs="Calibri"/>
          <w:color w:val="242B27"/>
          <w:sz w:val="20"/>
          <w:szCs w:val="20"/>
        </w:rPr>
        <w:t xml:space="preserve">	</w:t>
      </w:r>
      <w:r>
        <w:rPr>
          <w:rFonts w:ascii="Calibri" w:hAnsi="Calibri" w:cs="Calibri"/>
          <w:color w:val="242B27"/>
          <w:sz w:val="20"/>
          <w:szCs w:val="20"/>
        </w:rPr>
        <w:t xml:space="preserve">The Loan Writer may receive and service referrals only through the Finance Partner and subject to the main agreement, the Loan Writer's authorisation and all lawful directions of the Finance Partner, ACL holder and aggregator.</w:t>
      </w:r>
    </w:p>
    <w:p>
      <w:pPr>
        <w:pageBreakBefore/>
        <w:keepNext/>
        <w:spacing w:before="0" w:after="40" w:line="330" w:lineRule="auto"/>
      </w:pPr>
      <w:r>
        <w:rPr>
          <w:rFonts w:ascii="Consolas" w:hAnsi="Consolas" w:cs="Consolas"/>
          <w:spacing w:val="10"/>
          <w:color w:val="B4633A"/>
          <w:sz w:val="18"/>
          <w:szCs w:val="18"/>
        </w:rPr>
        <w:t xml:space="preserve">B2-B4</w:t>
      </w:r>
    </w:p>
    <w:p>
      <w:pPr>
        <w:keepNext/>
        <w:spacing w:before="0" w:after="60" w:line="240" w:lineRule="auto"/>
      </w:pPr>
      <w:r>
        <w:rPr>
          <w:rFonts w:ascii="Georgia" w:hAnsi="Georgia" w:cs="Georgia"/>
          <w:color w:val="12352A"/>
          <w:sz w:val="52"/>
          <w:szCs w:val="52"/>
        </w:rPr>
        <w:t xml:space="preserve">Loan Writer Undertakings</w:t>
      </w:r>
    </w:p>
    <w:p>
      <w:pPr>
        <w:keepNext/>
        <w:pBdr>
          <w:bottom w:val="single" w:sz="12" w:space="2" w:color="12352A"/>
        </w:pBdr>
        <w:spacing w:before="0" w:after="220" w:line="330" w:lineRule="auto"/>
      </w:pPr>
      <w:r>
        <w:rPr>
          <w:rFonts w:ascii="Calibri" w:hAnsi="Calibri" w:cs="Calibri"/>
          <w:color w:val="6B7570"/>
          <w:sz w:val="18"/>
          <w:szCs w:val="18"/>
        </w:rPr>
        <w:t xml:space="preserve">Conduct, payment structure and termination</w:t>
      </w:r>
    </w:p>
    <w:p>
      <w:pPr>
        <w:keepNext/>
        <w:spacing w:before="240" w:after="60" w:line="330" w:lineRule="auto"/>
      </w:pPr>
      <w:r>
        <w:rPr>
          <w:rFonts w:ascii="Consolas" w:hAnsi="Consolas" w:cs="Consolas"/>
          <w:color w:val="B4633A"/>
          <w:sz w:val="18"/>
          <w:szCs w:val="18"/>
        </w:rPr>
        <w:t xml:space="preserve">B2   </w:t>
      </w:r>
      <w:r>
        <w:rPr>
          <w:rFonts w:ascii="Calibri" w:hAnsi="Calibri" w:cs="Calibri"/>
          <w:b/>
          <w:color w:val="12352A"/>
          <w:sz w:val="22"/>
          <w:szCs w:val="22"/>
        </w:rPr>
        <w:t xml:space="preserve">Undertakings</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B2.1</w:t>
      </w:r>
      <w:r>
        <w:rPr>
          <w:rFonts w:ascii="Calibri" w:hAnsi="Calibri" w:cs="Calibri"/>
          <w:color w:val="242B27"/>
          <w:sz w:val="20"/>
          <w:szCs w:val="20"/>
        </w:rPr>
        <w:t xml:space="preserve">	</w:t>
      </w:r>
      <w:r>
        <w:rPr>
          <w:rFonts w:ascii="Calibri" w:hAnsi="Calibri" w:cs="Calibri"/>
          <w:color w:val="242B27"/>
          <w:sz w:val="20"/>
          <w:szCs w:val="20"/>
        </w:rPr>
        <w:t xml:space="preserve">The Loan Writer will comply with the referral, privacy, disclosure, record-keeping and professional-boundary provisions of the main agreement.</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B2.2</w:t>
      </w:r>
      <w:r>
        <w:rPr>
          <w:rFonts w:ascii="Calibri" w:hAnsi="Calibri" w:cs="Calibri"/>
          <w:color w:val="242B27"/>
          <w:sz w:val="20"/>
          <w:szCs w:val="20"/>
        </w:rPr>
        <w:t xml:space="preserve">	</w:t>
      </w:r>
      <w:r>
        <w:rPr>
          <w:rFonts w:ascii="Calibri" w:hAnsi="Calibri" w:cs="Calibri"/>
          <w:color w:val="242B27"/>
          <w:sz w:val="20"/>
          <w:szCs w:val="20"/>
        </w:rPr>
        <w:t xml:space="preserve">The Loan Writer will not represent that the Buyer's Agency provides credit assistance or guarantees finance approval.</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B2.3</w:t>
      </w:r>
      <w:r>
        <w:rPr>
          <w:rFonts w:ascii="Calibri" w:hAnsi="Calibri" w:cs="Calibri"/>
          <w:color w:val="242B27"/>
          <w:sz w:val="20"/>
          <w:szCs w:val="20"/>
        </w:rPr>
        <w:t xml:space="preserve">	</w:t>
      </w:r>
      <w:r>
        <w:rPr>
          <w:rFonts w:ascii="Calibri" w:hAnsi="Calibri" w:cs="Calibri"/>
          <w:color w:val="242B27"/>
          <w:sz w:val="20"/>
          <w:szCs w:val="20"/>
        </w:rPr>
        <w:t xml:space="preserve">The Loan Writer will promptly notify the Finance Partner of any complaint, privacy incident, regulatory issue or authorisation change relevant to a referred client.</w:t>
      </w:r>
    </w:p>
    <w:p>
      <w:pPr>
        <w:keepNext/>
        <w:spacing w:before="240" w:after="60" w:line="330" w:lineRule="auto"/>
      </w:pPr>
      <w:r>
        <w:rPr>
          <w:rFonts w:ascii="Consolas" w:hAnsi="Consolas" w:cs="Consolas"/>
          <w:color w:val="B4633A"/>
          <w:sz w:val="18"/>
          <w:szCs w:val="18"/>
        </w:rPr>
        <w:t xml:space="preserve">B3   </w:t>
      </w:r>
      <w:r>
        <w:rPr>
          <w:rFonts w:ascii="Calibri" w:hAnsi="Calibri" w:cs="Calibri"/>
          <w:b/>
          <w:color w:val="12352A"/>
          <w:sz w:val="22"/>
          <w:szCs w:val="22"/>
        </w:rPr>
        <w:t xml:space="preserve">No Separate Payment Obligation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B3.1</w:t>
      </w:r>
      <w:r>
        <w:rPr>
          <w:rFonts w:ascii="Calibri" w:hAnsi="Calibri" w:cs="Calibri"/>
          <w:color w:val="242B27"/>
          <w:sz w:val="20"/>
          <w:szCs w:val="20"/>
        </w:rPr>
        <w:t xml:space="preserve">	</w:t>
      </w:r>
      <w:r>
        <w:rPr>
          <w:rFonts w:ascii="Calibri" w:hAnsi="Calibri" w:cs="Calibri"/>
          <w:color w:val="242B27"/>
          <w:sz w:val="20"/>
          <w:szCs w:val="20"/>
        </w:rPr>
        <w:t xml:space="preserve">Unless separately agreed in writing, all commission-share payments are made by the Finance Partner to the Buyer's Agency. This undertaking does not create a separate payment obligation for the Loan Writer.</w:t>
      </w:r>
    </w:p>
    <w:p>
      <w:pPr>
        <w:keepNext/>
        <w:spacing w:before="240" w:after="60" w:line="330" w:lineRule="auto"/>
      </w:pPr>
      <w:r>
        <w:rPr>
          <w:rFonts w:ascii="Consolas" w:hAnsi="Consolas" w:cs="Consolas"/>
          <w:color w:val="B4633A"/>
          <w:sz w:val="18"/>
          <w:szCs w:val="18"/>
        </w:rPr>
        <w:t xml:space="preserve">B4   </w:t>
      </w:r>
      <w:r>
        <w:rPr>
          <w:rFonts w:ascii="Calibri" w:hAnsi="Calibri" w:cs="Calibri"/>
          <w:b/>
          <w:color w:val="12352A"/>
          <w:sz w:val="22"/>
          <w:szCs w:val="22"/>
        </w:rPr>
        <w:t xml:space="preserve">Termination</w:t>
      </w:r>
    </w:p>
    <w:p>
      <w:pPr>
        <w:pBdr>
          <w:top w:val="single" w:sz="4" w:space="2" w:color="EDEAE3"/>
        </w:pBdr>
        <w:ind w:left="880" w:hanging="880"/>
        <w:spacing w:before="80" w:after="80" w:line="330" w:lineRule="auto"/>
        <w:tabs>
          <w:tab w:val="left" w:pos="880"/>
        </w:tabs>
      </w:pPr>
      <w:r>
        <w:rPr>
          <w:rFonts w:ascii="Consolas" w:hAnsi="Consolas" w:cs="Consolas"/>
          <w:color w:val="8A9490"/>
          <w:sz w:val="17"/>
          <w:szCs w:val="17"/>
        </w:rPr>
        <w:t xml:space="preserve">B4.1</w:t>
      </w:r>
      <w:r>
        <w:rPr>
          <w:rFonts w:ascii="Calibri" w:hAnsi="Calibri" w:cs="Calibri"/>
          <w:color w:val="242B27"/>
          <w:sz w:val="20"/>
          <w:szCs w:val="20"/>
        </w:rPr>
        <w:t xml:space="preserve">	</w:t>
      </w:r>
      <w:r>
        <w:rPr>
          <w:rFonts w:ascii="Calibri" w:hAnsi="Calibri" w:cs="Calibri"/>
          <w:color w:val="242B27"/>
          <w:sz w:val="20"/>
          <w:szCs w:val="20"/>
        </w:rPr>
        <w:t xml:space="preserve">This undertaking ends when the Loan Writer ceases to be authorised by or associated with the Finance Partner, or when the main agreement terminates, whichever occurs first. Accrued obligations survive to the extent stated in the main agreement.</w:t>
      </w:r>
    </w:p>
    <w:p>
      <w:pPr>
        <w:pageBreakBefore/>
        <w:keepNext/>
        <w:spacing w:before="0" w:after="40" w:line="330" w:lineRule="auto"/>
      </w:pPr>
      <w:r>
        <w:rPr>
          <w:rFonts w:ascii="Consolas" w:hAnsi="Consolas" w:cs="Consolas"/>
          <w:spacing w:val="10"/>
          <w:color w:val="B4633A"/>
          <w:sz w:val="18"/>
          <w:szCs w:val="18"/>
        </w:rPr>
        <w:t xml:space="preserve">B5</w:t>
      </w:r>
    </w:p>
    <w:p>
      <w:pPr>
        <w:keepNext/>
        <w:spacing w:before="0" w:after="60" w:line="240" w:lineRule="auto"/>
      </w:pPr>
      <w:r>
        <w:rPr>
          <w:rFonts w:ascii="Georgia" w:hAnsi="Georgia" w:cs="Georgia"/>
          <w:color w:val="12352A"/>
          <w:sz w:val="52"/>
          <w:szCs w:val="52"/>
        </w:rPr>
        <w:t xml:space="preserve">Execution</w:t>
      </w:r>
    </w:p>
    <w:p>
      <w:pPr>
        <w:keepNext/>
        <w:pBdr>
          <w:bottom w:val="single" w:sz="12" w:space="2" w:color="12352A"/>
        </w:pBdr>
        <w:spacing w:before="0" w:after="220" w:line="330" w:lineRule="auto"/>
      </w:pPr>
      <w:r>
        <w:rPr>
          <w:rFonts w:ascii="Calibri" w:hAnsi="Calibri" w:cs="Calibri"/>
          <w:color w:val="6B7570"/>
          <w:sz w:val="18"/>
          <w:szCs w:val="18"/>
        </w:rPr>
        <w:t xml:space="preserve">Electronic or wet signature  ·  Loan writer undertaking</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Execution note</w:t>
            </w:r>
          </w:p>
          <w:p>
            <w:pPr>
              <w:spacing w:before="0" w:after="0" w:line="330" w:lineRule="auto"/>
            </w:pPr>
            <w:r>
              <w:rPr>
                <w:rFonts w:ascii="Calibri" w:hAnsi="Calibri" w:cs="Calibri"/>
                <w:color w:val="3B443F"/>
                <w:sz w:val="18"/>
                <w:szCs w:val="18"/>
              </w:rPr>
              <w:t xml:space="preserve">Select the execution block appropriate to each entity. The parties may execute counterparts and use an approved electronic signature platform.</w:t>
            </w:r>
          </w:p>
        </w:tc>
      </w:tr>
    </w:tbl>
    <w:p>
      <w:pPr>
        <w:spacing w:before="0" w:after="180" w:line="330" w:lineRule="auto"/>
      </w:pPr>
    </w:p>
    <w:tbl>
      <w:tblPr>
        <w:tblW w:w="5000" w:type="pct"/>
        <w:tblLayout w:type="fixed"/>
        <w:tblCellMar>
          <w:top w:w="0" w:type="dxa"/>
          <w:left w:w="0" w:type="dxa"/>
          <w:bottom w:w="0" w:type="dxa"/>
          <w:right w:w="0" w:type="dxa"/>
        </w:tblCellMar>
      </w:tblPr>
      <w:tblGrid>
        <w:gridCol w:w="4812"/>
        <w:gridCol w:w="240"/>
        <w:gridCol w:w="4812"/>
      </w:tblGrid>
      <w:tr>
        <w:tc>
          <w:tcPr>
            <w:tcW w:w="4812" w:type="dxa"/>
            <w:tcBorders>
              <w:top w:val="single" w:sz="4" w:space="0" w:color="E2DED6"/>
              <w:bottom w:val="single" w:sz="4" w:space="0" w:color="E2DED6"/>
              <w:left w:val="single" w:sz="4" w:space="0" w:color="E2DED6"/>
              <w:right w:val="single" w:sz="4" w:space="0" w:color="E2DED6"/>
            </w:tcBorders>
            <w:tcMar>
              <w:top w:w="280" w:type="dxa"/>
              <w:left w:w="300" w:type="dxa"/>
              <w:bottom w:w="300" w:type="dxa"/>
              <w:right w:w="300" w:type="dxa"/>
            </w:tcMar>
          </w:tcPr>
          <w:p>
            <w:pPr>
              <w:pBdr>
                <w:bottom w:val="single" w:sz="8" w:space="2" w:color="12352A"/>
              </w:pBdr>
              <w:spacing w:before="0" w:after="140" w:line="330" w:lineRule="auto"/>
            </w:pPr>
            <w:r>
              <w:rPr>
                <w:rFonts w:ascii="Consolas" w:hAnsi="Consolas" w:cs="Consolas"/>
                <w:caps/>
                <w:spacing w:val="14"/>
                <w:color w:val="12352A"/>
                <w:sz w:val="15"/>
                <w:szCs w:val="15"/>
              </w:rPr>
              <w:t xml:space="preserve">Signed for the loan writer / authorised representative</w:t>
            </w:r>
          </w:p>
          <w:p>
            <w:pPr>
              <w:spacing w:before="0" w:after="100" w:line="300" w:lineRule="auto"/>
            </w:pPr>
            <w:r>
              <w:rPr>
                <w:rFonts w:ascii="Calibri" w:hAnsi="Calibri" w:cs="Calibri"/>
                <w:color w:val="3B443F"/>
                <w:sz w:val="19"/>
                <w:szCs w:val="19"/>
              </w:rPr>
              <w:t xml:space="preserve">Legal entity: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Name of signatory: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Title / capacity: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Signature:</w:t>
            </w:r>
            <w:r>
              <w:rPr>
                <w:rFonts w:ascii="Calibri" w:hAnsi="Calibri" w:cs="Calibri"/>
                <w:color w:val="B7BEB9"/>
                <w:sz w:val="19"/>
                <w:szCs w:val="19"/>
              </w:rPr>
              <w:t xml:space="preserve"> ______________________________</w:t>
            </w:r>
          </w:p>
          <w:p>
            <w:pPr>
              <w:spacing w:before="0" w:after="100" w:line="300" w:lineRule="auto"/>
            </w:pPr>
            <w:r>
              <w:rPr>
                <w:rFonts w:ascii="Calibri" w:hAnsi="Calibri" w:cs="Calibri"/>
                <w:color w:val="3B443F"/>
                <w:sz w:val="19"/>
                <w:szCs w:val="19"/>
              </w:rPr>
              <w:t xml:space="preserve">Date:</w:t>
            </w:r>
            <w:r>
              <w:rPr>
                <w:rFonts w:ascii="Calibri" w:hAnsi="Calibri" w:cs="Calibri"/>
                <w:color w:val="B7BEB9"/>
                <w:sz w:val="19"/>
                <w:szCs w:val="19"/>
              </w:rPr>
              <w:t xml:space="preserve"> ____ / ____ / ______</w:t>
            </w:r>
          </w:p>
          <w:p>
            <w:pPr>
              <w:spacing w:before="0" w:after="100" w:line="300" w:lineRule="auto"/>
            </w:pPr>
            <w:r>
              <w:rPr>
                <w:rFonts w:ascii="Calibri" w:hAnsi="Calibri" w:cs="Calibri"/>
                <w:color w:val="3B443F"/>
                <w:sz w:val="19"/>
                <w:szCs w:val="19"/>
              </w:rPr>
              <w:t xml:space="preserve">Witness (if required):</w:t>
            </w:r>
            <w:r>
              <w:rPr>
                <w:rFonts w:ascii="Calibri" w:hAnsi="Calibri" w:cs="Calibri"/>
                <w:color w:val="B7BEB9"/>
                <w:sz w:val="19"/>
                <w:szCs w:val="19"/>
              </w:rPr>
              <w:t xml:space="preserve"> __________________</w:t>
            </w:r>
          </w:p>
        </w:tc>
        <w:tc>
          <w:tcPr>
            <w:tcW w:w="240" w:type="dxa"/>
          </w:tcPr>
          <w:p>
            <w:pPr>
              <w:spacing w:before="0" w:after="80" w:line="330" w:lineRule="auto"/>
            </w:pPr>
          </w:p>
        </w:tc>
        <w:tc>
          <w:tcPr>
            <w:tcW w:w="4812" w:type="dxa"/>
            <w:tcBorders>
              <w:top w:val="single" w:sz="4" w:space="0" w:color="E2DED6"/>
              <w:bottom w:val="single" w:sz="4" w:space="0" w:color="E2DED6"/>
              <w:left w:val="single" w:sz="4" w:space="0" w:color="E2DED6"/>
              <w:right w:val="single" w:sz="4" w:space="0" w:color="E2DED6"/>
            </w:tcBorders>
            <w:tcMar>
              <w:top w:w="280" w:type="dxa"/>
              <w:left w:w="300" w:type="dxa"/>
              <w:bottom w:w="300" w:type="dxa"/>
              <w:right w:w="300" w:type="dxa"/>
            </w:tcMar>
          </w:tcPr>
          <w:p>
            <w:pPr>
              <w:pBdr>
                <w:bottom w:val="single" w:sz="8" w:space="2" w:color="12352A"/>
              </w:pBdr>
              <w:spacing w:before="0" w:after="140" w:line="330" w:lineRule="auto"/>
            </w:pPr>
            <w:r>
              <w:rPr>
                <w:rFonts w:ascii="Consolas" w:hAnsi="Consolas" w:cs="Consolas"/>
                <w:caps/>
                <w:spacing w:val="14"/>
                <w:color w:val="12352A"/>
                <w:sz w:val="15"/>
                <w:szCs w:val="15"/>
              </w:rPr>
              <w:t xml:space="preserve">Signed for the buyer's agency / referrer</w:t>
            </w:r>
          </w:p>
          <w:p>
            <w:pPr>
              <w:spacing w:before="0" w:after="100" w:line="300" w:lineRule="auto"/>
            </w:pPr>
            <w:r>
              <w:rPr>
                <w:rFonts w:ascii="Calibri" w:hAnsi="Calibri" w:cs="Calibri"/>
                <w:color w:val="3B443F"/>
                <w:sz w:val="19"/>
                <w:szCs w:val="19"/>
              </w:rPr>
              <w:t xml:space="preserve">Legal entity: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Name of signatory: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Title / capacity: </w:t>
            </w:r>
            <w:r>
              <w:rPr>
                <w:rFonts w:ascii="Consolas" w:hAnsi="Consolas" w:cs="Consolas"/>
                <w:color w:val="8A6A2F"/>
                <w:sz w:val="17"/>
                <w:szCs w:val="17"/>
                <w:shd w:val="clear" w:color="auto" w:fill="FAF3E8"/>
              </w:rPr>
              <w:t xml:space="preserve">&lt;&lt;INSERT&gt;&gt;</w:t>
            </w:r>
          </w:p>
          <w:p>
            <w:pPr>
              <w:spacing w:before="0" w:after="100" w:line="300" w:lineRule="auto"/>
            </w:pPr>
            <w:r>
              <w:rPr>
                <w:rFonts w:ascii="Calibri" w:hAnsi="Calibri" w:cs="Calibri"/>
                <w:color w:val="3B443F"/>
                <w:sz w:val="19"/>
                <w:szCs w:val="19"/>
              </w:rPr>
              <w:t xml:space="preserve">Signature:</w:t>
            </w:r>
            <w:r>
              <w:rPr>
                <w:rFonts w:ascii="Calibri" w:hAnsi="Calibri" w:cs="Calibri"/>
                <w:color w:val="B7BEB9"/>
                <w:sz w:val="19"/>
                <w:szCs w:val="19"/>
              </w:rPr>
              <w:t xml:space="preserve"> ______________________________</w:t>
            </w:r>
          </w:p>
          <w:p>
            <w:pPr>
              <w:spacing w:before="0" w:after="100" w:line="300" w:lineRule="auto"/>
            </w:pPr>
            <w:r>
              <w:rPr>
                <w:rFonts w:ascii="Calibri" w:hAnsi="Calibri" w:cs="Calibri"/>
                <w:color w:val="3B443F"/>
                <w:sz w:val="19"/>
                <w:szCs w:val="19"/>
              </w:rPr>
              <w:t xml:space="preserve">Date:</w:t>
            </w:r>
            <w:r>
              <w:rPr>
                <w:rFonts w:ascii="Calibri" w:hAnsi="Calibri" w:cs="Calibri"/>
                <w:color w:val="B7BEB9"/>
                <w:sz w:val="19"/>
                <w:szCs w:val="19"/>
              </w:rPr>
              <w:t xml:space="preserve"> ____ / ____ / ______</w:t>
            </w:r>
          </w:p>
          <w:p>
            <w:pPr>
              <w:spacing w:before="0" w:after="100" w:line="300" w:lineRule="auto"/>
            </w:pPr>
            <w:r>
              <w:rPr>
                <w:rFonts w:ascii="Calibri" w:hAnsi="Calibri" w:cs="Calibri"/>
                <w:color w:val="3B443F"/>
                <w:sz w:val="19"/>
                <w:szCs w:val="19"/>
              </w:rPr>
              <w:t xml:space="preserve">Witness (if required):</w:t>
            </w:r>
            <w:r>
              <w:rPr>
                <w:rFonts w:ascii="Calibri" w:hAnsi="Calibri" w:cs="Calibri"/>
                <w:color w:val="B7BEB9"/>
                <w:sz w:val="19"/>
                <w:szCs w:val="19"/>
              </w:rPr>
              <w:t xml:space="preserve"> __________________</w:t>
            </w:r>
          </w:p>
        </w:tc>
      </w:tr>
    </w:tbl>
    <w:p>
      <w:pPr>
        <w:spacing w:before="0" w:after="140" w:line="330" w:lineRule="auto"/>
      </w:pPr>
    </w:p>
    <w:p>
      <w:pPr>
        <w:pBdr>
          <w:top w:val="single" w:sz="12" w:space="2" w:color="12352A"/>
        </w:pBdr>
        <w:spacing w:before="180" w:after="40" w:line="330" w:lineRule="auto"/>
      </w:pPr>
      <w:r>
        <w:rPr>
          <w:rFonts w:ascii="Calibri" w:hAnsi="Calibri" w:cs="Calibri"/>
          <w:b/>
          <w:color w:val="12352A"/>
          <w:sz w:val="19"/>
          <w:szCs w:val="19"/>
        </w:rPr>
        <w:t xml:space="preserve">Optional company execution under section 127 of the Corporations Act 2001 (Cth):</w:t>
      </w:r>
    </w:p>
    <w:p>
      <w:pPr>
        <w:spacing w:before="0" w:after="180" w:line="330" w:lineRule="auto"/>
      </w:pPr>
      <w:r>
        <w:rPr>
          <w:rFonts w:ascii="Calibri" w:hAnsi="Calibri" w:cs="Calibri"/>
          <w:color w:val="6B7570"/>
          <w:sz w:val="18"/>
          <w:szCs w:val="18"/>
        </w:rPr>
        <w:t xml:space="preserve">Use the block below only where it is appropriate for the executing entity and approved by the relevant advisers.</w:t>
      </w: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Director / sole director</w:t>
            </w:r>
          </w:p>
        </w:tc>
        <w:tc>
          <w:tcPr>
            <w:tcW w:w="2664" w:type="dxa"/>
            <w:tcBorders>
              <w:top w:val="single" w:sz="4" w:space="0" w:color="E2DED6"/>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&lt;&lt;NAME AND SIGNATURE&gt;&gt;</w:t>
            </w:r>
          </w:p>
        </w:tc>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Director / company secretary</w:t>
            </w:r>
          </w:p>
        </w:tc>
        <w:tc>
          <w:tcPr>
            <w:tcW w:w="2664" w:type="dxa"/>
            <w:tcBorders>
              <w:top w:val="single" w:sz="4" w:space="0" w:color="E2DED6"/>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&lt;&lt;NAME AND SIGNATURE OR N/A&gt;&gt;</w:t>
            </w:r>
          </w:p>
        </w:tc>
      </w:tr>
    </w:tbl>
    <w:p>
      <w:pPr>
        <w:pageBreakBefore/>
        <w:keepNext/>
        <w:spacing w:before="0" w:after="40" w:line="330" w:lineRule="auto"/>
      </w:pPr>
      <w:r>
        <w:rPr>
          <w:rFonts w:ascii="Consolas" w:hAnsi="Consolas" w:cs="Consolas"/>
          <w:spacing w:val="10"/>
          <w:color w:val="B4633A"/>
          <w:sz w:val="18"/>
          <w:szCs w:val="18"/>
        </w:rPr>
        <w:t xml:space="preserve">C</w:t>
      </w:r>
    </w:p>
    <w:p>
      <w:pPr>
        <w:keepNext/>
        <w:spacing w:before="0" w:after="60" w:line="240" w:lineRule="auto"/>
      </w:pPr>
      <w:r>
        <w:rPr>
          <w:rFonts w:ascii="Georgia" w:hAnsi="Georgia" w:cs="Georgia"/>
          <w:color w:val="12352A"/>
          <w:sz w:val="52"/>
          <w:szCs w:val="52"/>
        </w:rPr>
        <w:t xml:space="preserve">Referrer Entity &amp; Payment Details</w:t>
      </w:r>
    </w:p>
    <w:p>
      <w:pPr>
        <w:keepNext/>
        <w:pBdr>
          <w:bottom w:val="single" w:sz="12" w:space="2" w:color="12352A"/>
        </w:pBdr>
        <w:spacing w:before="0" w:after="220" w:line="330" w:lineRule="auto"/>
      </w:pPr>
      <w:r>
        <w:rPr>
          <w:rFonts w:ascii="Calibri" w:hAnsi="Calibri" w:cs="Calibri"/>
          <w:color w:val="6B7570"/>
          <w:sz w:val="18"/>
          <w:szCs w:val="18"/>
        </w:rPr>
        <w:t xml:space="preserve">Restricted finance administration form  ·  Banking verification and payment administration</w:t>
      </w:r>
    </w:p>
    <w:tbl>
      <w:tblPr>
        <w:tblW w:w="5000" w:type="pct"/>
        <w:tblLayout w:type="fixed"/>
        <w:tblCellMar>
          <w:top w:w="0" w:type="dxa"/>
          <w:left w:w="0" w:type="dxa"/>
          <w:bottom w:w="0" w:type="dxa"/>
          <w:right w:w="0" w:type="dxa"/>
        </w:tblCellMar>
      </w:tblPr>
      <w:tblGrid>
        <w:gridCol w:w="9865"/>
      </w:tblGrid>
      <w:tr>
        <w:tc>
          <w:tcPr>
            <w:tcW w:w="9865" w:type="dxa"/>
            <w:shd w:val="clear" w:color="auto" w:fill="F6F4EF"/>
            <w:tcBorders>
              <w:top w:val="single" w:sz="16" w:space="0" w:color="B4633A"/>
            </w:tcBorders>
            <w:tcMar>
              <w:top w:w="200" w:type="dxa"/>
              <w:left w:w="240" w:type="dxa"/>
              <w:bottom w:w="220" w:type="dxa"/>
              <w:right w:w="240" w:type="dxa"/>
            </w:tcMar>
          </w:tcPr>
          <w:p>
            <w:pPr>
              <w:spacing w:before="0" w:after="60" w:line="330" w:lineRule="auto"/>
            </w:pPr>
            <w:r>
              <w:rPr>
                <w:rFonts w:ascii="Consolas" w:hAnsi="Consolas" w:cs="Consolas"/>
                <w:caps/>
                <w:spacing w:val="16"/>
                <w:color w:val="B4633A"/>
                <w:sz w:val="14"/>
                <w:szCs w:val="14"/>
              </w:rPr>
              <w:t xml:space="preserve">Security control</w:t>
            </w:r>
          </w:p>
          <w:p>
            <w:pPr>
              <w:spacing w:before="0" w:after="0" w:line="330" w:lineRule="auto"/>
            </w:pPr>
            <w:r>
              <w:rPr>
                <w:rFonts w:ascii="Calibri" w:hAnsi="Calibri" w:cs="Calibri"/>
                <w:color w:val="3B443F"/>
                <w:sz w:val="18"/>
                <w:szCs w:val="18"/>
              </w:rPr>
              <w:t xml:space="preserve">Banking details should be collected in a restricted-access workflow and independently verified using a known telephone number before the first payment or any later change.</w:t>
            </w:r>
          </w:p>
        </w:tc>
      </w:tr>
    </w:tbl>
    <w:p>
      <w:pPr>
        <w:spacing w:before="0" w:after="180" w:line="330" w:lineRule="auto"/>
      </w:pP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Registered entity name</w:t>
            </w:r>
          </w:p>
        </w:tc>
        <w:tc>
          <w:tcPr>
            <w:tcW w:w="2664" w:type="dxa"/>
            <w:tcBorders>
              <w:top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Trading name</w:t>
            </w:r>
          </w:p>
        </w:tc>
        <w:tc>
          <w:tcPr>
            <w:tcW w:w="2664" w:type="dxa"/>
            <w:tcBorders>
              <w:top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ABN / ACN</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GST registered</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  Yes</w:t>
            </w:r>
          </w:p>
          <w:p>
            <w:pPr>
              <w:spacing w:before="0" w:after="0" w:line="330" w:lineRule="auto"/>
            </w:pPr>
            <w:r>
              <w:rPr>
                <w:rFonts w:ascii="Calibri" w:hAnsi="Calibri" w:cs="Calibri"/>
                <w:color w:val="242B27"/>
                <w:sz w:val="19"/>
                <w:szCs w:val="19"/>
              </w:rPr>
              <w:t xml:space="preserve">☐  No</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Registered address</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Business phone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Accounts email / RCTI email</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Authorised accounts contact</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Account name</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&lt;&lt;MUST MATCH AGREEMENT ENTITY&gt;&gt;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Bank name</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BSB</w:t>
            </w:r>
          </w:p>
        </w:tc>
        <w:tc>
          <w:tcPr>
            <w:tcW w:w="2664" w:type="dxa"/>
            <w:tcBorders>
              <w:top w:val="single" w:sz="4" w:space="0" w:color="EDEAE3"/>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&lt;&lt;INSERT&gt;&gt;</w:t>
            </w:r>
          </w:p>
        </w:tc>
        <w:tc>
          <w:tcPr>
            <w:tcW w:w="2269" w:type="dxa"/>
            <w:tcBorders>
              <w:top w:val="single" w:sz="4" w:space="0" w:color="EDEAE3"/>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Account number</w:t>
            </w:r>
          </w:p>
        </w:tc>
        <w:tc>
          <w:tcPr>
            <w:tcW w:w="2664" w:type="dxa"/>
            <w:tcBorders>
              <w:top w:val="single" w:sz="4" w:space="0" w:color="EDEAE3"/>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&lt;&lt;INSERT&gt;&gt;</w:t>
            </w:r>
          </w:p>
        </w:tc>
      </w:tr>
      <w:tr>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Independent verification date</w:t>
            </w:r>
          </w:p>
        </w:tc>
        <w:tc>
          <w:tcPr>
            <w:tcW w:w="2664" w:type="dxa"/>
            <w:tcBorders>
              <w:top w:val="single" w:sz="4" w:space="0" w:color="EDEAE3"/>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&lt;&lt;DATE&gt;&gt;</w:t>
            </w:r>
          </w:p>
        </w:tc>
        <w:tc>
          <w:tcPr>
            <w:tcW w:w="2269" w:type="dxa"/>
            <w:tcBorders>
              <w:top w:val="single" w:sz="4" w:space="0" w:color="EDEAE3"/>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Verified by</w:t>
            </w:r>
          </w:p>
        </w:tc>
        <w:tc>
          <w:tcPr>
            <w:tcW w:w="2664" w:type="dxa"/>
            <w:tcBorders>
              <w:top w:val="single" w:sz="4" w:space="0" w:color="EDEAE3"/>
              <w:bottom w:val="single" w:sz="4" w:space="0" w:color="E2DED6"/>
            </w:tcBorders>
            <w:tcMar>
              <w:top w:w="200" w:type="dxa"/>
              <w:left w:w="0" w:type="dxa"/>
              <w:bottom w:w="200" w:type="dxa"/>
              <w:right w:w="0" w:type="dxa"/>
            </w:tcMar>
          </w:tcPr>
          <w:p>
            <w:pPr>
              <w:spacing w:before="0" w:after="0" w:line="330" w:lineRule="auto"/>
            </w:pPr>
            <w:r>
              <w:rPr>
                <w:rFonts w:ascii="Consolas" w:hAnsi="Consolas" w:cs="Consolas"/>
                <w:color w:val="8A6A2F"/>
                <w:sz w:val="17"/>
                <w:szCs w:val="17"/>
                <w:shd w:val="clear" w:color="auto" w:fill="FAF3E8"/>
              </w:rPr>
              <w:t xml:space="preserve">&lt;&lt;NAME AND ROLE&gt;&gt;</w:t>
            </w:r>
          </w:p>
        </w:tc>
      </w:tr>
    </w:tbl>
    <w:p>
      <w:pPr>
        <w:spacing w:before="0" w:after="140" w:line="330" w:lineRule="auto"/>
      </w:pPr>
    </w:p>
    <w:tbl>
      <w:tblPr>
        <w:tblW w:w="5000" w:type="pct"/>
        <w:tblLayout w:type="fixed"/>
        <w:tblCellMar>
          <w:top w:w="0" w:type="dxa"/>
          <w:left w:w="0" w:type="dxa"/>
          <w:bottom w:w="0" w:type="dxa"/>
          <w:right w:w="0" w:type="dxa"/>
        </w:tblCellMar>
      </w:tblPr>
      <w:tblGrid>
        <w:gridCol w:w="9865"/>
      </w:tblGrid>
      <w:tr>
        <w:tc>
          <w:tcPr>
            <w:tcW w:w="9865" w:type="dxa"/>
            <w:shd w:val="clear" w:color="auto" w:fill="12352A"/>
            <w:tcMar>
              <w:top w:w="260" w:type="dxa"/>
              <w:left w:w="300" w:type="dxa"/>
              <w:bottom w:w="280" w:type="dxa"/>
              <w:right w:w="300" w:type="dxa"/>
            </w:tcMar>
          </w:tcPr>
          <w:p>
            <w:pPr>
              <w:spacing w:before="0" w:after="80" w:line="330" w:lineRule="auto"/>
            </w:pPr>
            <w:r>
              <w:rPr>
                <w:rFonts w:ascii="Consolas" w:hAnsi="Consolas" w:cs="Consolas"/>
                <w:caps/>
                <w:spacing w:val="16"/>
                <w:color w:val="C9B78E"/>
                <w:sz w:val="14"/>
                <w:szCs w:val="14"/>
              </w:rPr>
              <w:t xml:space="preserve">Declaration</w:t>
            </w:r>
          </w:p>
          <w:p>
            <w:pPr>
              <w:spacing w:before="0" w:after="0" w:line="330" w:lineRule="auto"/>
            </w:pPr>
            <w:r>
              <w:rPr>
                <w:rFonts w:ascii="Calibri" w:hAnsi="Calibri" w:cs="Calibri"/>
                <w:color w:val="E7EAE6"/>
                <w:sz w:val="19"/>
                <w:szCs w:val="19"/>
              </w:rPr>
              <w:t xml:space="preserve">The signatory confirms that the entity and banking information is accurate, that they are authorised to provide it, and that the finance partner may use the information solely for administering payments, reconciliations and required tax documentation under the agreement.</w:t>
            </w:r>
          </w:p>
        </w:tc>
      </w:tr>
    </w:tbl>
    <w:p>
      <w:pPr>
        <w:spacing w:before="0" w:after="160" w:line="330" w:lineRule="auto"/>
      </w:pPr>
    </w:p>
    <w:tbl>
      <w:tblPr>
        <w:tblW w:w="5000" w:type="pct"/>
        <w:tblLayout w:type="fixed"/>
        <w:tblCellMar>
          <w:top w:w="0" w:type="dxa"/>
          <w:left w:w="0" w:type="dxa"/>
          <w:bottom w:w="0" w:type="dxa"/>
          <w:right w:w="0" w:type="dxa"/>
        </w:tblCellMar>
      </w:tblPr>
      <w:tblGrid>
        <w:gridCol w:w="2269"/>
        <w:gridCol w:w="2664"/>
        <w:gridCol w:w="2269"/>
        <w:gridCol w:w="2664"/>
      </w:tblGrid>
      <w:tr>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Director / authorised signatory</w:t>
            </w:r>
          </w:p>
        </w:tc>
        <w:tc>
          <w:tcPr>
            <w:tcW w:w="2664" w:type="dxa"/>
            <w:tcBorders>
              <w:top w:val="single" w:sz="4" w:space="0" w:color="E2DED6"/>
              <w:bottom w:val="single" w:sz="4" w:space="0" w:color="E2DED6"/>
            </w:tcBorders>
            <w:tcMar>
              <w:top w:w="200" w:type="dxa"/>
              <w:left w:w="0" w:type="dxa"/>
              <w:bottom w:w="200" w:type="dxa"/>
              <w:right w:w="260" w:type="dxa"/>
            </w:tcMar>
          </w:tcPr>
          <w:p>
            <w:pPr>
              <w:spacing w:before="0" w:after="0" w:line="330" w:lineRule="auto"/>
            </w:pPr>
            <w:r>
              <w:rPr>
                <w:rFonts w:ascii="Consolas" w:hAnsi="Consolas" w:cs="Consolas"/>
                <w:color w:val="8A6A2F"/>
                <w:sz w:val="17"/>
                <w:szCs w:val="17"/>
                <w:shd w:val="clear" w:color="auto" w:fill="FAF3E8"/>
              </w:rPr>
              <w:t xml:space="preserve">&lt;&lt;NAME AND SIGNATURE&gt;&gt;</w:t>
            </w:r>
          </w:p>
        </w:tc>
        <w:tc>
          <w:tcPr>
            <w:tcW w:w="2269" w:type="dxa"/>
            <w:tcBorders>
              <w:top w:val="single" w:sz="4" w:space="0" w:color="E2DED6"/>
              <w:bottom w:val="single" w:sz="4" w:space="0" w:color="E2DED6"/>
            </w:tcBorders>
            <w:tcMar>
              <w:top w:w="200" w:type="dxa"/>
              <w:left w:w="0" w:type="dxa"/>
              <w:bottom w:w="200" w:type="dxa"/>
              <w:right w:w="180" w:type="dxa"/>
            </w:tcMar>
          </w:tcPr>
          <w:p>
            <w:pPr>
              <w:spacing w:before="0" w:after="0" w:line="330" w:lineRule="auto"/>
            </w:pPr>
            <w:r>
              <w:rPr>
                <w:rFonts w:ascii="Consolas" w:hAnsi="Consolas" w:cs="Consolas"/>
                <w:caps/>
                <w:spacing w:val="12"/>
                <w:color w:val="12352A"/>
                <w:sz w:val="14"/>
                <w:szCs w:val="14"/>
              </w:rPr>
              <w:t xml:space="preserve">Date signed</w:t>
            </w:r>
          </w:p>
        </w:tc>
        <w:tc>
          <w:tcPr>
            <w:tcW w:w="2664" w:type="dxa"/>
            <w:tcBorders>
              <w:top w:val="single" w:sz="4" w:space="0" w:color="E2DED6"/>
              <w:bottom w:val="single" w:sz="4" w:space="0" w:color="E2DED6"/>
            </w:tcBorders>
            <w:tcMar>
              <w:top w:w="200" w:type="dxa"/>
              <w:left w:w="0" w:type="dxa"/>
              <w:bottom w:w="200" w:type="dxa"/>
              <w:right w:w="0" w:type="dxa"/>
            </w:tcMar>
          </w:tcPr>
          <w:p>
            <w:pPr>
              <w:spacing w:before="0" w:after="0" w:line="330" w:lineRule="auto"/>
            </w:pPr>
            <w:r>
              <w:rPr>
                <w:rFonts w:ascii="Calibri" w:hAnsi="Calibri" w:cs="Calibri"/>
                <w:color w:val="242B27"/>
                <w:sz w:val="19"/>
                <w:szCs w:val="19"/>
              </w:rPr>
              <w:t xml:space="preserve">____ / ____ / ______</w:t>
            </w:r>
          </w:p>
        </w:tc>
      </w:tr>
    </w:tbl>
    <w:sectPr>
      <w:headerReference r:id="rId3" w:type="default"/>
      <w:footerReference r:id="rId4" w:type="default"/>
      <w:pgSz w:w="11906" w:h="16838"/>
      <w:pgMar w:top="1400" w:right="1008" w:bottom="1300" w:left="1008" w:header="720" w:footer="680" w:gutter="0"/>
    </w:sectPr>
  </w:body>
</w:document>
</file>

<file path=word/footer1.xml><?xml version="1.0" encoding="utf-8"?>
<w:ftr xmlns:w="http://schemas.openxmlformats.org/wordprocessingml/2006/main">
  <w:p>
    <w:pPr>
      <w:pBdr>
        <w:top w:val="single" w:sz="4" w:space="2" w:color="D9D5CD"/>
      </w:pBdr>
      <w:spacing w:before="0" w:after="0" w:line="330" w:lineRule="auto"/>
      <w:tabs>
        <w:tab w:val="right" w:pos="9865"/>
      </w:tabs>
    </w:pPr>
    <w:r>
      <w:rPr>
        <w:rFonts w:ascii="Consolas" w:hAnsi="Consolas" w:cs="Consolas"/>
        <w:caps/>
        <w:spacing w:val="16"/>
        <w:color w:val="8A9490"/>
        <w:sz w:val="14"/>
        <w:szCs w:val="14"/>
      </w:rPr>
      <w:t xml:space="preserve">Template only</w:t>
    </w:r>
    <w:r>
      <w:tab/>
    </w:r>
    <w:r>
      <w:rPr>
        <w:rFonts w:ascii="Consolas" w:hAnsi="Consolas" w:cs="Consolas"/>
        <w:caps/>
        <w:spacing w:val="16"/>
        <w:color w:val="8A9490"/>
        <w:sz w:val="14"/>
        <w:szCs w:val="14"/>
      </w:rPr>
      <w:t xml:space="preserve">Page </w:t>
    </w:r>
    <w:r>
      <w:fldChar w:fldCharType="begin"/>
    </w:r>
    <w:r>
      <w:instrText xml:space="preserve"> PAGE </w:instrText>
    </w:r>
    <w:r>
      <w:fldChar w:fldCharType="separate"/>
    </w:r>
    <w:r>
      <w:rPr>
        <w:rFonts w:ascii="Consolas" w:hAnsi="Consolas" w:cs="Consolas"/>
        <w:color w:val="8A9490"/>
        <w:sz w:val="14"/>
        <w:szCs w:val="14"/>
      </w:rPr>
      <w:t>1</w:t>
    </w:r>
    <w:r>
      <w:fldChar w:fldCharType="end"/>
    </w:r>
    <w:r>
      <w:rPr>
        <w:rFonts w:ascii="Consolas" w:hAnsi="Consolas" w:cs="Consolas"/>
        <w:color w:val="8A9490"/>
        <w:sz w:val="14"/>
        <w:szCs w:val="14"/>
      </w:rPr>
      <w:t xml:space="preserve"> of </w:t>
    </w:r>
    <w:r>
      <w:fldChar w:fldCharType="begin"/>
    </w:r>
    <w:r>
      <w:instrText xml:space="preserve"> NUMPAGES </w:instrText>
    </w:r>
    <w:r>
      <w:fldChar w:fldCharType="separate"/>
    </w:r>
    <w:r>
      <w:rPr>
        <w:rFonts w:ascii="Consolas" w:hAnsi="Consolas" w:cs="Consolas"/>
        <w:color w:val="8A9490"/>
        <w:sz w:val="14"/>
        <w:szCs w:val="14"/>
      </w:rPr>
      <w:t>1</w:t>
    </w:r>
    <w:r>
      <w:fldChar w:fldCharType="end"/>
    </w:r>
  </w:p>
</w:ftr>
</file>

<file path=word/header1.xml><?xml version="1.0" encoding="utf-8"?>
<w:hdr xmlns:w="http://schemas.openxmlformats.org/wordprocessingml/2006/main">
  <w:p>
    <w:pPr>
      <w:pBdr>
        <w:bottom w:val="single" w:sz="4" w:space="2" w:color="D9D5CD"/>
      </w:pBdr>
      <w:spacing w:before="0" w:after="0" w:line="330" w:lineRule="auto"/>
      <w:tabs>
        <w:tab w:val="right" w:pos="9865"/>
      </w:tabs>
    </w:pPr>
    <w:r>
      <w:rPr>
        <w:rFonts w:ascii="Consolas" w:hAnsi="Consolas" w:cs="Consolas"/>
        <w:caps/>
        <w:spacing w:val="16"/>
        <w:color w:val="12352A"/>
        <w:sz w:val="14"/>
        <w:szCs w:val="14"/>
      </w:rPr>
      <w:t xml:space="preserve">Finance Referral &amp; Commission Agreement</w:t>
    </w:r>
    <w:r>
      <w:rPr>
        <w:rFonts w:ascii="Calibri" w:hAnsi="Calibri" w:cs="Calibri"/>
        <w:color w:val="242B27"/>
        <w:sz w:val="20"/>
        <w:szCs w:val="20"/>
      </w:rPr>
      <w:t xml:space="preserve">	</w:t>
    </w:r>
    <w:r>
      <w:rPr>
        <w:rFonts w:ascii="Consolas" w:hAnsi="Consolas" w:cs="Consolas"/>
        <w:caps/>
        <w:spacing w:val="16"/>
        <w:color w:val="8A9490"/>
        <w:sz w:val="14"/>
        <w:szCs w:val="14"/>
      </w:rPr>
      <w:t xml:space="preserve">Version 2.0</w:t>
    </w:r>
  </w:p>
</w:hdr>
</file>

<file path=word/styles.xml><?xml version="1.0" encoding="utf-8"?>
<w:styles xmlns:w="http://schemas.openxmlformats.org/wordprocessingml/2006/main">
  <w:docDefaults>
    <w:rPrDefault>
      <w:rPr>
        <w:rFonts w:ascii="Calibri" w:hAnsi="Calibri" w:cs="Calibri"/>
        <w:color w:val="242B27"/>
        <w:sz w:val="20"/>
        <w:szCs w:val="20"/>
      </w:rPr>
    </w:rPrDefault>
    <w:pPrDefault>
      <w:pPr>
        <w:spacing w:after="80" w:line="33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Finance Referral &amp; Commission Agreement</dc:title>
</cp:coreProperties>
</file>