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5000" w:type="pc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65"/>
      </w:tblGrid>
      <w:tr>
        <w:tc>
          <w:tcPr>
            <w:tcW w:w="9865" w:type="dxa"/>
            <w:shd w:val="clear" w:color="auto" w:fill="12352A"/>
            <w:tcMar>
              <w:top w:w="620" w:type="dxa"/>
              <w:left w:w="620" w:type="dxa"/>
              <w:bottom w:w="560" w:type="dxa"/>
              <w:right w:w="620" w:type="dxa"/>
            </w:tcMar>
          </w:tcPr>
          <w:p>
            <w:pPr>
              <w:spacing w:before="0" w:after="200" w:line="330" w:lineRule="auto"/>
            </w:pPr>
            <w:r>
              <w:rPr>
                <w:rFonts w:ascii="Consolas" w:hAnsi="Consolas" w:cs="Consolas"/>
                <w:caps/>
                <w:spacing w:val="20"/>
                <w:color w:val="C9B78E"/>
                <w:sz w:val="15"/>
                <w:szCs w:val="15"/>
              </w:rPr>
              <w:t xml:space="preserve">———   &lt;&lt;COMPANY NAME&gt;&gt;</w:t>
            </w:r>
          </w:p>
          <w:p>
            <w:pPr>
              <w:spacing w:before="0" w:after="60" w:line="240" w:lineRule="auto"/>
            </w:pPr>
            <w:r>
              <w:rPr>
                <w:rFonts w:ascii="Georgia" w:hAnsi="Georgia" w:cs="Georgia"/>
                <w:color w:val="FFFFFF"/>
                <w:sz w:val="80"/>
                <w:szCs w:val="80"/>
              </w:rPr>
              <w:t xml:space="preserve">Strategic Property Referral</w:t>
            </w:r>
          </w:p>
          <w:p>
            <w:pPr>
              <w:spacing w:before="0" w:after="240" w:line="240" w:lineRule="auto"/>
            </w:pPr>
            <w:r>
              <w:rPr>
                <w:rFonts w:ascii="Georgia" w:hAnsi="Georgia" w:cs="Georgia"/>
                <w:color w:val="FFFFFF"/>
                <w:sz w:val="80"/>
                <w:szCs w:val="80"/>
              </w:rPr>
              <w:t xml:space="preserve">Agreement</w:t>
            </w:r>
          </w:p>
          <w:p>
            <w:pPr>
              <w:pBdr>
                <w:top w:val="single" w:sz="4" w:space="2" w:color="3E5A4E"/>
              </w:pBdr>
              <w:spacing w:before="140" w:after="0" w:line="330" w:lineRule="auto"/>
            </w:pPr>
            <w:r>
              <w:rPr>
                <w:rFonts w:ascii="Consolas" w:hAnsi="Consolas" w:cs="Consolas"/>
                <w:caps/>
                <w:spacing w:val="14"/>
                <w:color w:val="B9C4BD"/>
                <w:sz w:val="16"/>
                <w:szCs w:val="16"/>
              </w:rPr>
              <w:t xml:space="preserve">Issued by the buyer's agency to the finance partner</w:t>
            </w:r>
          </w:p>
        </w:tc>
      </w:tr>
    </w:tbl>
    <w:p>
      <w:pPr>
        <w:spacing w:before="0" w:after="200" w:line="330" w:lineRule="auto"/>
      </w:pPr>
    </w:p>
    <w:p>
      <w:pPr>
        <w:spacing w:before="0" w:after="80" w:line="330" w:lineRule="auto"/>
      </w:pPr>
      <w:r>
        <w:rPr>
          <w:rFonts w:ascii="Consolas" w:hAnsi="Consolas" w:cs="Consolas"/>
          <w:caps/>
          <w:spacing w:val="14"/>
          <w:color w:val="B4633A"/>
          <w:sz w:val="14"/>
          <w:szCs w:val="14"/>
        </w:rPr>
        <w:t xml:space="preserve">Particulars</w:t>
      </w:r>
    </w:p>
    <w:tbl>
      <w:tblPr>
        <w:tblW w:w="5000" w:type="pc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00"/>
        <w:gridCol w:w="6765"/>
      </w:tblGrid>
      <w:tr>
        <w:tc>
          <w:tcPr>
            <w:tcW w:w="3100" w:type="dxa"/>
            <w:tcBorders>
              <w:bottom w:val="single" w:sz="4" w:space="0" w:color="EDEAE3"/>
            </w:tcBorders>
            <w:tcMar>
              <w:top w:w="160" w:type="dxa"/>
              <w:left w:w="0" w:type="dxa"/>
              <w:bottom w:w="160" w:type="dxa"/>
              <w:right w:w="120" w:type="dxa"/>
            </w:tcMar>
          </w:tcPr>
          <w:p>
            <w:pPr>
              <w:spacing w:before="0" w:after="0" w:line="330" w:lineRule="auto"/>
            </w:pPr>
            <w:r>
              <w:rPr>
                <w:rFonts w:ascii="Consolas" w:hAnsi="Consolas" w:cs="Consolas"/>
                <w:caps/>
                <w:spacing w:val="14"/>
                <w:color w:val="12352A"/>
                <w:sz w:val="15"/>
                <w:szCs w:val="15"/>
              </w:rPr>
              <w:t xml:space="preserve">Between</w:t>
            </w:r>
          </w:p>
        </w:tc>
        <w:tc>
          <w:tcPr>
            <w:tcW w:w="6765" w:type="dxa"/>
            <w:tcBorders>
              <w:bottom w:val="single" w:sz="4" w:space="0" w:color="EDEAE3"/>
            </w:tcBorders>
            <w:tcMar>
              <w:top w:w="160" w:type="dxa"/>
              <w:left w:w="0" w:type="dxa"/>
              <w:bottom w:w="160" w:type="dxa"/>
              <w:right w:w="0" w:type="dxa"/>
            </w:tcMar>
          </w:tcPr>
          <w:p>
            <w:pPr>
              <w:spacing w:before="0" w:after="0" w:line="330" w:lineRule="auto"/>
            </w:pPr>
            <w:r>
              <w:rPr>
                <w:rFonts w:ascii="Consolas" w:hAnsi="Consolas" w:cs="Consolas"/>
                <w:color w:val="8A6A2F"/>
                <w:sz w:val="17"/>
                <w:szCs w:val="17"/>
                <w:shd w:val="clear" w:color="auto" w:fill="FAF3E8"/>
              </w:rPr>
              <w:t xml:space="preserve">&lt;&lt;INSERT&gt;&gt;</w:t>
            </w:r>
          </w:p>
        </w:tc>
      </w:tr>
      <w:tr>
        <w:tc>
          <w:tcPr>
            <w:tcW w:w="3100" w:type="dxa"/>
            <w:tcBorders>
              <w:bottom w:val="single" w:sz="4" w:space="0" w:color="EDEAE3"/>
            </w:tcBorders>
            <w:tcMar>
              <w:top w:w="160" w:type="dxa"/>
              <w:left w:w="0" w:type="dxa"/>
              <w:bottom w:w="160" w:type="dxa"/>
              <w:right w:w="120" w:type="dxa"/>
            </w:tcMar>
          </w:tcPr>
          <w:p>
            <w:pPr>
              <w:spacing w:before="0" w:after="0" w:line="330" w:lineRule="auto"/>
            </w:pPr>
            <w:r>
              <w:rPr>
                <w:rFonts w:ascii="Consolas" w:hAnsi="Consolas" w:cs="Consolas"/>
                <w:caps/>
                <w:spacing w:val="14"/>
                <w:color w:val="12352A"/>
                <w:sz w:val="15"/>
                <w:szCs w:val="15"/>
              </w:rPr>
              <w:t xml:space="preserve">ABN / ACN</w:t>
            </w:r>
          </w:p>
        </w:tc>
        <w:tc>
          <w:tcPr>
            <w:tcW w:w="6765" w:type="dxa"/>
            <w:tcBorders>
              <w:bottom w:val="single" w:sz="4" w:space="0" w:color="EDEAE3"/>
            </w:tcBorders>
            <w:tcMar>
              <w:top w:w="160" w:type="dxa"/>
              <w:left w:w="0" w:type="dxa"/>
              <w:bottom w:w="160" w:type="dxa"/>
              <w:right w:w="0" w:type="dxa"/>
            </w:tcMar>
          </w:tcPr>
          <w:p>
            <w:pPr>
              <w:spacing w:before="0" w:after="0" w:line="330" w:lineRule="auto"/>
            </w:pPr>
            <w:r>
              <w:rPr>
                <w:rFonts w:ascii="Consolas" w:hAnsi="Consolas" w:cs="Consolas"/>
                <w:color w:val="8A6A2F"/>
                <w:sz w:val="17"/>
                <w:szCs w:val="17"/>
                <w:shd w:val="clear" w:color="auto" w:fill="FAF3E8"/>
              </w:rPr>
              <w:t xml:space="preserve">&lt;&lt;INSERT&gt;&gt;</w:t>
            </w:r>
          </w:p>
        </w:tc>
      </w:tr>
      <w:tr>
        <w:tc>
          <w:tcPr>
            <w:tcW w:w="3100" w:type="dxa"/>
            <w:tcBorders>
              <w:bottom w:val="single" w:sz="4" w:space="0" w:color="EDEAE3"/>
            </w:tcBorders>
            <w:tcMar>
              <w:top w:w="160" w:type="dxa"/>
              <w:left w:w="0" w:type="dxa"/>
              <w:bottom w:w="160" w:type="dxa"/>
              <w:right w:w="120" w:type="dxa"/>
            </w:tcMar>
          </w:tcPr>
          <w:p>
            <w:pPr>
              <w:spacing w:before="0" w:after="0" w:line="330" w:lineRule="auto"/>
            </w:pPr>
            <w:r>
              <w:rPr>
                <w:rFonts w:ascii="Consolas" w:hAnsi="Consolas" w:cs="Consolas"/>
                <w:caps/>
                <w:spacing w:val="14"/>
                <w:color w:val="12352A"/>
                <w:sz w:val="15"/>
                <w:szCs w:val="15"/>
              </w:rPr>
              <w:t xml:space="preserve">And</w:t>
            </w:r>
          </w:p>
        </w:tc>
        <w:tc>
          <w:tcPr>
            <w:tcW w:w="6765" w:type="dxa"/>
            <w:tcBorders>
              <w:bottom w:val="single" w:sz="4" w:space="0" w:color="EDEAE3"/>
            </w:tcBorders>
            <w:tcMar>
              <w:top w:w="160" w:type="dxa"/>
              <w:left w:w="0" w:type="dxa"/>
              <w:bottom w:w="160" w:type="dxa"/>
              <w:right w:w="0" w:type="dxa"/>
            </w:tcMar>
          </w:tcPr>
          <w:p>
            <w:pPr>
              <w:spacing w:before="0" w:after="0" w:line="330" w:lineRule="auto"/>
            </w:pPr>
            <w:r>
              <w:rPr>
                <w:rFonts w:ascii="Consolas" w:hAnsi="Consolas" w:cs="Consolas"/>
                <w:color w:val="8A6A2F"/>
                <w:sz w:val="17"/>
                <w:szCs w:val="17"/>
                <w:shd w:val="clear" w:color="auto" w:fill="FAF3E8"/>
              </w:rPr>
              <w:t xml:space="preserve">&lt;&lt;INSERT&gt;&gt;</w:t>
            </w:r>
          </w:p>
        </w:tc>
      </w:tr>
      <w:tr>
        <w:tc>
          <w:tcPr>
            <w:tcW w:w="3100" w:type="dxa"/>
            <w:tcBorders>
              <w:bottom w:val="single" w:sz="4" w:space="0" w:color="EDEAE3"/>
            </w:tcBorders>
            <w:tcMar>
              <w:top w:w="160" w:type="dxa"/>
              <w:left w:w="0" w:type="dxa"/>
              <w:bottom w:w="160" w:type="dxa"/>
              <w:right w:w="120" w:type="dxa"/>
            </w:tcMar>
          </w:tcPr>
          <w:p>
            <w:pPr>
              <w:spacing w:before="0" w:after="0" w:line="330" w:lineRule="auto"/>
            </w:pPr>
            <w:r>
              <w:rPr>
                <w:rFonts w:ascii="Consolas" w:hAnsi="Consolas" w:cs="Consolas"/>
                <w:caps/>
                <w:spacing w:val="14"/>
                <w:color w:val="12352A"/>
                <w:sz w:val="15"/>
                <w:szCs w:val="15"/>
              </w:rPr>
              <w:t xml:space="preserve">ABN / ACN</w:t>
            </w:r>
          </w:p>
        </w:tc>
        <w:tc>
          <w:tcPr>
            <w:tcW w:w="6765" w:type="dxa"/>
            <w:tcBorders>
              <w:bottom w:val="single" w:sz="4" w:space="0" w:color="EDEAE3"/>
            </w:tcBorders>
            <w:tcMar>
              <w:top w:w="160" w:type="dxa"/>
              <w:left w:w="0" w:type="dxa"/>
              <w:bottom w:w="160" w:type="dxa"/>
              <w:right w:w="0" w:type="dxa"/>
            </w:tcMar>
          </w:tcPr>
          <w:p>
            <w:pPr>
              <w:spacing w:before="0" w:after="0" w:line="330" w:lineRule="auto"/>
            </w:pPr>
            <w:r>
              <w:rPr>
                <w:rFonts w:ascii="Consolas" w:hAnsi="Consolas" w:cs="Consolas"/>
                <w:color w:val="8A6A2F"/>
                <w:sz w:val="17"/>
                <w:szCs w:val="17"/>
                <w:shd w:val="clear" w:color="auto" w:fill="FAF3E8"/>
              </w:rPr>
              <w:t xml:space="preserve">&lt;&lt;INSERT&gt;&gt;</w:t>
            </w:r>
          </w:p>
        </w:tc>
      </w:tr>
      <w:tr>
        <w:tc>
          <w:tcPr>
            <w:tcW w:w="3100" w:type="dxa"/>
            <w:tcBorders>
              <w:bottom w:val="single" w:sz="4" w:space="0" w:color="EDEAE3"/>
            </w:tcBorders>
            <w:tcMar>
              <w:top w:w="160" w:type="dxa"/>
              <w:left w:w="0" w:type="dxa"/>
              <w:bottom w:w="160" w:type="dxa"/>
              <w:right w:w="120" w:type="dxa"/>
            </w:tcMar>
          </w:tcPr>
          <w:p>
            <w:pPr>
              <w:spacing w:before="0" w:after="0" w:line="330" w:lineRule="auto"/>
            </w:pPr>
            <w:r>
              <w:rPr>
                <w:rFonts w:ascii="Consolas" w:hAnsi="Consolas" w:cs="Consolas"/>
                <w:caps/>
                <w:spacing w:val="14"/>
                <w:color w:val="12352A"/>
                <w:sz w:val="15"/>
                <w:szCs w:val="15"/>
              </w:rPr>
              <w:t xml:space="preserve">Dated</w:t>
            </w:r>
          </w:p>
        </w:tc>
        <w:tc>
          <w:tcPr>
            <w:tcW w:w="6765" w:type="dxa"/>
            <w:tcBorders>
              <w:bottom w:val="single" w:sz="4" w:space="0" w:color="EDEAE3"/>
            </w:tcBorders>
            <w:tcMar>
              <w:top w:w="160" w:type="dxa"/>
              <w:left w:w="0" w:type="dxa"/>
              <w:bottom w:w="160" w:type="dxa"/>
              <w:right w:w="0" w:type="dxa"/>
            </w:tcMar>
          </w:tcPr>
          <w:p>
            <w:pPr>
              <w:spacing w:before="0" w:after="0" w:line="330" w:lineRule="auto"/>
            </w:pPr>
            <w:r>
              <w:rPr>
                <w:rFonts w:ascii="Consolas" w:hAnsi="Consolas" w:cs="Consolas"/>
                <w:color w:val="8A6A2F"/>
                <w:sz w:val="17"/>
                <w:szCs w:val="17"/>
                <w:shd w:val="clear" w:color="auto" w:fill="FAF3E8"/>
              </w:rPr>
              <w:t xml:space="preserve">&lt;&lt;DATE&gt;&gt;</w:t>
            </w:r>
          </w:p>
        </w:tc>
      </w:tr>
      <w:tr>
        <w:tc>
          <w:tcPr>
            <w:tcW w:w="3100" w:type="dxa"/>
            <w:tcBorders>
              <w:bottom w:val="single" w:sz="4" w:space="0" w:color="EDEAE3"/>
            </w:tcBorders>
            <w:tcMar>
              <w:top w:w="160" w:type="dxa"/>
              <w:left w:w="0" w:type="dxa"/>
              <w:bottom w:w="160" w:type="dxa"/>
              <w:right w:w="120" w:type="dxa"/>
            </w:tcMar>
          </w:tcPr>
          <w:p>
            <w:pPr>
              <w:spacing w:before="0" w:after="0" w:line="330" w:lineRule="auto"/>
            </w:pPr>
            <w:r>
              <w:rPr>
                <w:rFonts w:ascii="Consolas" w:hAnsi="Consolas" w:cs="Consolas"/>
                <w:caps/>
                <w:spacing w:val="14"/>
                <w:color w:val="12352A"/>
                <w:sz w:val="15"/>
                <w:szCs w:val="15"/>
              </w:rPr>
              <w:t xml:space="preserve">Governing law</w:t>
            </w:r>
          </w:p>
        </w:tc>
        <w:tc>
          <w:tcPr>
            <w:tcW w:w="6765" w:type="dxa"/>
            <w:tcBorders>
              <w:bottom w:val="single" w:sz="4" w:space="0" w:color="EDEAE3"/>
            </w:tcBorders>
            <w:tcMar>
              <w:top w:w="160" w:type="dxa"/>
              <w:left w:w="0" w:type="dxa"/>
              <w:bottom w:w="160" w:type="dxa"/>
              <w:right w:w="0" w:type="dxa"/>
            </w:tcMar>
          </w:tcPr>
          <w:p>
            <w:pPr>
              <w:spacing w:before="0" w:after="0" w:line="330" w:lineRule="auto"/>
            </w:pPr>
            <w:r>
              <w:rPr>
                <w:rFonts w:ascii="Consolas" w:hAnsi="Consolas" w:cs="Consolas"/>
                <w:color w:val="8A6A2F"/>
                <w:sz w:val="17"/>
                <w:szCs w:val="17"/>
                <w:shd w:val="clear" w:color="auto" w:fill="FAF3E8"/>
              </w:rPr>
              <w:t xml:space="preserve">&lt;&lt;INSERT&gt;&gt;</w:t>
            </w:r>
          </w:p>
        </w:tc>
      </w:tr>
    </w:tbl>
    <w:p>
      <w:pPr>
        <w:pBdr>
          <w:top w:val="single" w:sz="12" w:space="2" w:color="12352A"/>
        </w:pBdr>
        <w:spacing w:before="240" w:after="0" w:line="330" w:lineRule="auto"/>
      </w:pPr>
      <w:r>
        <w:rPr>
          <w:rFonts w:ascii="Consolas" w:hAnsi="Consolas" w:cs="Consolas"/>
          <w:caps/>
          <w:spacing w:val="14"/>
          <w:color w:val="12352A"/>
          <w:sz w:val="15"/>
          <w:szCs w:val="15"/>
        </w:rPr>
        <w:t xml:space="preserve">Effective date: </w:t>
      </w:r>
      <w:r>
        <w:rPr>
          <w:rFonts w:ascii="Consolas" w:hAnsi="Consolas" w:cs="Consolas"/>
          <w:color w:val="8A6A2F"/>
          <w:sz w:val="15"/>
          <w:szCs w:val="15"/>
        </w:rPr>
        <w:t xml:space="preserve">&lt;&lt;DATE&gt;&gt;</w:t>
      </w:r>
      <w:r>
        <w:rPr>
          <w:rFonts w:ascii="Calibri" w:hAnsi="Calibri" w:cs="Calibri"/>
          <w:color w:val="242B27"/>
          <w:sz w:val="20"/>
          <w:szCs w:val="20"/>
        </w:rPr>
        <w:t xml:space="preserve">      </w:t>
      </w:r>
      <w:r>
        <w:rPr>
          <w:rFonts w:ascii="Calibri" w:hAnsi="Calibri" w:cs="Calibri"/>
          <w:color w:val="6B7570"/>
          <w:sz w:val="17"/>
          <w:szCs w:val="17"/>
        </w:rPr>
        <w:t xml:space="preserve">Template only - obtain legal, licensing, privacy and aggregator approval before use.</w:t>
      </w:r>
    </w:p>
    <w:p>
      <w:pPr>
        <w:pageBreakBefore/>
        <w:spacing w:before="0" w:after="80" w:line="330" w:lineRule="auto"/>
      </w:pPr>
      <w:r>
        <w:rPr>
          <w:rFonts w:ascii="Consolas" w:hAnsi="Consolas" w:cs="Consolas"/>
          <w:caps/>
          <w:spacing w:val="14"/>
          <w:color w:val="B4633A"/>
          <w:sz w:val="14"/>
          <w:szCs w:val="14"/>
        </w:rPr>
        <w:t xml:space="preserve">Contents</w:t>
      </w:r>
    </w:p>
    <w:p>
      <w:pPr>
        <w:pBdr>
          <w:bottom w:val="single" w:sz="12" w:space="2" w:color="12352A"/>
        </w:pBdr>
        <w:spacing w:before="0" w:after="200" w:line="330" w:lineRule="auto"/>
      </w:pPr>
      <w:r>
        <w:rPr>
          <w:rFonts w:ascii="Georgia" w:hAnsi="Georgia" w:cs="Georgia"/>
          <w:color w:val="12352A"/>
          <w:sz w:val="48"/>
          <w:szCs w:val="48"/>
        </w:rPr>
        <w:t xml:space="preserve">Strategic Property Referral Agreement</w:t>
      </w:r>
    </w:p>
    <w:tbl>
      <w:tblPr>
        <w:tblW w:w="5000" w:type="pc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0"/>
        <w:gridCol w:w="8965"/>
      </w:tblGrid>
      <w:tr>
        <w:tc>
          <w:tcPr>
            <w:tcW w:w="900" w:type="dxa"/>
            <w:tcBorders>
              <w:bottom w:val="single" w:sz="4" w:space="0" w:color="EDEAE3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>
            <w:pPr>
              <w:spacing w:before="0" w:after="0" w:line="330" w:lineRule="auto"/>
            </w:pPr>
            <w:r>
              <w:rPr>
                <w:rFonts w:ascii="Consolas" w:hAnsi="Consolas" w:cs="Consolas"/>
                <w:color w:val="B4633A"/>
                <w:sz w:val="17"/>
                <w:szCs w:val="17"/>
              </w:rPr>
              <w:t xml:space="preserve">E</w:t>
            </w:r>
          </w:p>
        </w:tc>
        <w:tc>
          <w:tcPr>
            <w:tcW w:w="8965" w:type="dxa"/>
            <w:tcBorders>
              <w:bottom w:val="single" w:sz="4" w:space="0" w:color="EDEAE3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>
            <w:pPr>
              <w:spacing w:before="0" w:after="0" w:line="330" w:lineRule="auto"/>
            </w:pPr>
            <w:r>
              <w:rPr>
                <w:rFonts w:ascii="Calibri" w:hAnsi="Calibri" w:cs="Calibri"/>
                <w:b/>
                <w:color w:val="12352A"/>
                <w:sz w:val="20"/>
                <w:szCs w:val="20"/>
              </w:rPr>
              <w:t xml:space="preserve">Partner Email Template</w:t>
            </w:r>
            <w:r>
              <w:rPr>
                <w:rFonts w:ascii="Calibri" w:hAnsi="Calibri" w:cs="Calibri"/>
                <w:color w:val="8A9490"/>
                <w:sz w:val="19"/>
                <w:szCs w:val="19"/>
              </w:rPr>
              <w:t xml:space="preserve">   ·   Editable introductory correspondence</w:t>
            </w:r>
          </w:p>
        </w:tc>
      </w:tr>
      <w:tr>
        <w:tc>
          <w:tcPr>
            <w:tcW w:w="900" w:type="dxa"/>
            <w:tcBorders>
              <w:bottom w:val="single" w:sz="4" w:space="0" w:color="EDEAE3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>
            <w:pPr>
              <w:spacing w:before="0" w:after="0" w:line="330" w:lineRule="auto"/>
            </w:pPr>
            <w:r>
              <w:rPr>
                <w:rFonts w:ascii="Consolas" w:hAnsi="Consolas" w:cs="Consolas"/>
                <w:color w:val="B4633A"/>
                <w:sz w:val="17"/>
                <w:szCs w:val="17"/>
              </w:rPr>
              <w:t xml:space="preserve">1</w:t>
            </w:r>
          </w:p>
        </w:tc>
        <w:tc>
          <w:tcPr>
            <w:tcW w:w="8965" w:type="dxa"/>
            <w:tcBorders>
              <w:bottom w:val="single" w:sz="4" w:space="0" w:color="EDEAE3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>
            <w:pPr>
              <w:spacing w:before="0" w:after="0" w:line="330" w:lineRule="auto"/>
            </w:pPr>
            <w:r>
              <w:rPr>
                <w:rFonts w:ascii="Calibri" w:hAnsi="Calibri" w:cs="Calibri"/>
                <w:b/>
                <w:color w:val="12352A"/>
                <w:sz w:val="20"/>
                <w:szCs w:val="20"/>
              </w:rPr>
              <w:t xml:space="preserve">Agreement Details</w:t>
            </w:r>
            <w:r>
              <w:rPr>
                <w:rFonts w:ascii="Calibri" w:hAnsi="Calibri" w:cs="Calibri"/>
                <w:color w:val="8A9490"/>
                <w:sz w:val="19"/>
                <w:szCs w:val="19"/>
              </w:rPr>
              <w:t xml:space="preserve">   ·   Core entity and authority information</w:t>
            </w:r>
          </w:p>
        </w:tc>
      </w:tr>
      <w:tr>
        <w:tc>
          <w:tcPr>
            <w:tcW w:w="900" w:type="dxa"/>
            <w:tcBorders>
              <w:bottom w:val="single" w:sz="4" w:space="0" w:color="EDEAE3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>
            <w:pPr>
              <w:spacing w:before="0" w:after="0" w:line="330" w:lineRule="auto"/>
            </w:pPr>
            <w:r>
              <w:rPr>
                <w:rFonts w:ascii="Consolas" w:hAnsi="Consolas" w:cs="Consolas"/>
                <w:color w:val="B4633A"/>
                <w:sz w:val="17"/>
                <w:szCs w:val="17"/>
              </w:rPr>
              <w:t xml:space="preserve">2</w:t>
            </w:r>
          </w:p>
        </w:tc>
        <w:tc>
          <w:tcPr>
            <w:tcW w:w="8965" w:type="dxa"/>
            <w:tcBorders>
              <w:bottom w:val="single" w:sz="4" w:space="0" w:color="EDEAE3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>
            <w:pPr>
              <w:spacing w:before="0" w:after="0" w:line="330" w:lineRule="auto"/>
            </w:pPr>
            <w:r>
              <w:rPr>
                <w:rFonts w:ascii="Calibri" w:hAnsi="Calibri" w:cs="Calibri"/>
                <w:b/>
                <w:color w:val="12352A"/>
                <w:sz w:val="20"/>
                <w:szCs w:val="20"/>
              </w:rPr>
              <w:t xml:space="preserve">Purpose &amp; Scope</w:t>
            </w:r>
            <w:r>
              <w:rPr>
                <w:rFonts w:ascii="Calibri" w:hAnsi="Calibri" w:cs="Calibri"/>
                <w:color w:val="8A9490"/>
                <w:sz w:val="19"/>
                <w:szCs w:val="19"/>
              </w:rPr>
              <w:t xml:space="preserve">   ·   Clear service boundaries</w:t>
            </w:r>
          </w:p>
        </w:tc>
      </w:tr>
      <w:tr>
        <w:tc>
          <w:tcPr>
            <w:tcW w:w="900" w:type="dxa"/>
            <w:tcBorders>
              <w:bottom w:val="single" w:sz="4" w:space="0" w:color="EDEAE3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>
            <w:pPr>
              <w:spacing w:before="0" w:after="0" w:line="330" w:lineRule="auto"/>
            </w:pPr>
            <w:r>
              <w:rPr>
                <w:rFonts w:ascii="Consolas" w:hAnsi="Consolas" w:cs="Consolas"/>
                <w:color w:val="B4633A"/>
                <w:sz w:val="17"/>
                <w:szCs w:val="17"/>
              </w:rPr>
              <w:t xml:space="preserve">2A</w:t>
            </w:r>
          </w:p>
        </w:tc>
        <w:tc>
          <w:tcPr>
            <w:tcW w:w="8965" w:type="dxa"/>
            <w:tcBorders>
              <w:bottom w:val="single" w:sz="4" w:space="0" w:color="EDEAE3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>
            <w:pPr>
              <w:spacing w:before="0" w:after="0" w:line="330" w:lineRule="auto"/>
            </w:pPr>
            <w:r>
              <w:rPr>
                <w:rFonts w:ascii="Calibri" w:hAnsi="Calibri" w:cs="Calibri"/>
                <w:b/>
                <w:color w:val="12352A"/>
                <w:sz w:val="20"/>
                <w:szCs w:val="20"/>
              </w:rPr>
              <w:t xml:space="preserve">Purpose &amp; Services</w:t>
            </w:r>
            <w:r>
              <w:rPr>
                <w:rFonts w:ascii="Calibri" w:hAnsi="Calibri" w:cs="Calibri"/>
                <w:color w:val="8A9490"/>
                <w:sz w:val="19"/>
                <w:szCs w:val="19"/>
              </w:rPr>
              <w:t xml:space="preserve">   ·   Operative clauses</w:t>
            </w:r>
          </w:p>
        </w:tc>
      </w:tr>
      <w:tr>
        <w:tc>
          <w:tcPr>
            <w:tcW w:w="900" w:type="dxa"/>
            <w:tcBorders>
              <w:bottom w:val="single" w:sz="4" w:space="0" w:color="EDEAE3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>
            <w:pPr>
              <w:spacing w:before="0" w:after="0" w:line="330" w:lineRule="auto"/>
            </w:pPr>
            <w:r>
              <w:rPr>
                <w:rFonts w:ascii="Consolas" w:hAnsi="Consolas" w:cs="Consolas"/>
                <w:color w:val="B4633A"/>
                <w:sz w:val="17"/>
                <w:szCs w:val="17"/>
              </w:rPr>
              <w:t xml:space="preserve">3</w:t>
            </w:r>
          </w:p>
        </w:tc>
        <w:tc>
          <w:tcPr>
            <w:tcW w:w="8965" w:type="dxa"/>
            <w:tcBorders>
              <w:bottom w:val="single" w:sz="4" w:space="0" w:color="EDEAE3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>
            <w:pPr>
              <w:spacing w:before="0" w:after="0" w:line="330" w:lineRule="auto"/>
            </w:pPr>
            <w:r>
              <w:rPr>
                <w:rFonts w:ascii="Calibri" w:hAnsi="Calibri" w:cs="Calibri"/>
                <w:b/>
                <w:color w:val="12352A"/>
                <w:sz w:val="20"/>
                <w:szCs w:val="20"/>
              </w:rPr>
              <w:t xml:space="preserve">Commercial Schedule</w:t>
            </w:r>
            <w:r>
              <w:rPr>
                <w:rFonts w:ascii="Calibri" w:hAnsi="Calibri" w:cs="Calibri"/>
                <w:color w:val="8A9490"/>
                <w:sz w:val="19"/>
                <w:szCs w:val="19"/>
              </w:rPr>
              <w:t xml:space="preserve">   ·   Complete every applicable field before execution</w:t>
            </w:r>
          </w:p>
        </w:tc>
      </w:tr>
      <w:tr>
        <w:tc>
          <w:tcPr>
            <w:tcW w:w="900" w:type="dxa"/>
            <w:tcBorders>
              <w:bottom w:val="single" w:sz="4" w:space="0" w:color="EDEAE3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>
            <w:pPr>
              <w:spacing w:before="0" w:after="0" w:line="330" w:lineRule="auto"/>
            </w:pPr>
            <w:r>
              <w:rPr>
                <w:rFonts w:ascii="Consolas" w:hAnsi="Consolas" w:cs="Consolas"/>
                <w:color w:val="B4633A"/>
                <w:sz w:val="17"/>
                <w:szCs w:val="17"/>
              </w:rPr>
              <w:t xml:space="preserve">4-6</w:t>
            </w:r>
          </w:p>
        </w:tc>
        <w:tc>
          <w:tcPr>
            <w:tcW w:w="8965" w:type="dxa"/>
            <w:tcBorders>
              <w:bottom w:val="single" w:sz="4" w:space="0" w:color="EDEAE3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>
            <w:pPr>
              <w:spacing w:before="0" w:after="0" w:line="330" w:lineRule="auto"/>
            </w:pPr>
            <w:r>
              <w:rPr>
                <w:rFonts w:ascii="Calibri" w:hAnsi="Calibri" w:cs="Calibri"/>
                <w:b/>
                <w:color w:val="12352A"/>
                <w:sz w:val="20"/>
                <w:szCs w:val="20"/>
              </w:rPr>
              <w:t xml:space="preserve">Client Consent, Privacy &amp; Communications</w:t>
            </w:r>
            <w:r>
              <w:rPr>
                <w:rFonts w:ascii="Calibri" w:hAnsi="Calibri" w:cs="Calibri"/>
                <w:color w:val="8A9490"/>
                <w:sz w:val="19"/>
                <w:szCs w:val="19"/>
              </w:rPr>
              <w:t xml:space="preserve"/>
            </w:r>
          </w:p>
        </w:tc>
      </w:tr>
      <w:tr>
        <w:tc>
          <w:tcPr>
            <w:tcW w:w="900" w:type="dxa"/>
            <w:tcBorders>
              <w:bottom w:val="single" w:sz="4" w:space="0" w:color="EDEAE3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>
            <w:pPr>
              <w:spacing w:before="0" w:after="0" w:line="330" w:lineRule="auto"/>
            </w:pPr>
            <w:r>
              <w:rPr>
                <w:rFonts w:ascii="Consolas" w:hAnsi="Consolas" w:cs="Consolas"/>
                <w:color w:val="B4633A"/>
                <w:sz w:val="17"/>
                <w:szCs w:val="17"/>
              </w:rPr>
              <w:t xml:space="preserve">7-9</w:t>
            </w:r>
          </w:p>
        </w:tc>
        <w:tc>
          <w:tcPr>
            <w:tcW w:w="8965" w:type="dxa"/>
            <w:tcBorders>
              <w:bottom w:val="single" w:sz="4" w:space="0" w:color="EDEAE3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>
            <w:pPr>
              <w:spacing w:before="0" w:after="0" w:line="330" w:lineRule="auto"/>
            </w:pPr>
            <w:r>
              <w:rPr>
                <w:rFonts w:ascii="Calibri" w:hAnsi="Calibri" w:cs="Calibri"/>
                <w:b/>
                <w:color w:val="12352A"/>
                <w:sz w:val="20"/>
                <w:szCs w:val="20"/>
              </w:rPr>
              <w:t xml:space="preserve">Relationship Protections &amp; Risk Allocation</w:t>
            </w:r>
            <w:r>
              <w:rPr>
                <w:rFonts w:ascii="Calibri" w:hAnsi="Calibri" w:cs="Calibri"/>
                <w:color w:val="8A9490"/>
                <w:sz w:val="19"/>
                <w:szCs w:val="19"/>
              </w:rPr>
              <w:t xml:space="preserve"/>
            </w:r>
          </w:p>
        </w:tc>
      </w:tr>
      <w:tr>
        <w:tc>
          <w:tcPr>
            <w:tcW w:w="900" w:type="dxa"/>
            <w:tcBorders>
              <w:bottom w:val="single" w:sz="4" w:space="0" w:color="EDEAE3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>
            <w:pPr>
              <w:spacing w:before="0" w:after="0" w:line="330" w:lineRule="auto"/>
            </w:pPr>
            <w:r>
              <w:rPr>
                <w:rFonts w:ascii="Consolas" w:hAnsi="Consolas" w:cs="Consolas"/>
                <w:color w:val="B4633A"/>
                <w:sz w:val="17"/>
                <w:szCs w:val="17"/>
              </w:rPr>
              <w:t xml:space="preserve">10-12</w:t>
            </w:r>
          </w:p>
        </w:tc>
        <w:tc>
          <w:tcPr>
            <w:tcW w:w="8965" w:type="dxa"/>
            <w:tcBorders>
              <w:bottom w:val="single" w:sz="4" w:space="0" w:color="EDEAE3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>
            <w:pPr>
              <w:spacing w:before="0" w:after="0" w:line="330" w:lineRule="auto"/>
            </w:pPr>
            <w:r>
              <w:rPr>
                <w:rFonts w:ascii="Calibri" w:hAnsi="Calibri" w:cs="Calibri"/>
                <w:b/>
                <w:color w:val="12352A"/>
                <w:sz w:val="20"/>
                <w:szCs w:val="20"/>
              </w:rPr>
              <w:t xml:space="preserve">Term, Termination &amp; General Provisions</w:t>
            </w:r>
            <w:r>
              <w:rPr>
                <w:rFonts w:ascii="Calibri" w:hAnsi="Calibri" w:cs="Calibri"/>
                <w:color w:val="8A9490"/>
                <w:sz w:val="19"/>
                <w:szCs w:val="19"/>
              </w:rPr>
              <w:t xml:space="preserve"/>
            </w:r>
          </w:p>
        </w:tc>
      </w:tr>
      <w:tr>
        <w:tc>
          <w:tcPr>
            <w:tcW w:w="900" w:type="dxa"/>
            <w:tcBorders>
              <w:bottom w:val="single" w:sz="4" w:space="0" w:color="EDEAE3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>
            <w:pPr>
              <w:spacing w:before="0" w:after="0" w:line="330" w:lineRule="auto"/>
            </w:pPr>
            <w:r>
              <w:rPr>
                <w:rFonts w:ascii="Consolas" w:hAnsi="Consolas" w:cs="Consolas"/>
                <w:color w:val="B4633A"/>
                <w:sz w:val="17"/>
                <w:szCs w:val="17"/>
              </w:rPr>
              <w:t xml:space="preserve">13</w:t>
            </w:r>
          </w:p>
        </w:tc>
        <w:tc>
          <w:tcPr>
            <w:tcW w:w="8965" w:type="dxa"/>
            <w:tcBorders>
              <w:bottom w:val="single" w:sz="4" w:space="0" w:color="EDEAE3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>
            <w:pPr>
              <w:spacing w:before="0" w:after="0" w:line="330" w:lineRule="auto"/>
            </w:pPr>
            <w:r>
              <w:rPr>
                <w:rFonts w:ascii="Calibri" w:hAnsi="Calibri" w:cs="Calibri"/>
                <w:b/>
                <w:color w:val="12352A"/>
                <w:sz w:val="20"/>
                <w:szCs w:val="20"/>
              </w:rPr>
              <w:t xml:space="preserve">Execution</w:t>
            </w:r>
            <w:r>
              <w:rPr>
                <w:rFonts w:ascii="Calibri" w:hAnsi="Calibri" w:cs="Calibri"/>
                <w:color w:val="8A9490"/>
                <w:sz w:val="19"/>
                <w:szCs w:val="19"/>
              </w:rPr>
              <w:t xml:space="preserve">   ·   Electronic or wet signature</w:t>
            </w:r>
          </w:p>
        </w:tc>
      </w:tr>
      <w:tr>
        <w:tc>
          <w:tcPr>
            <w:tcW w:w="900" w:type="dxa"/>
            <w:tcBorders>
              <w:bottom w:val="single" w:sz="4" w:space="0" w:color="EDEAE3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>
            <w:pPr>
              <w:spacing w:before="0" w:after="0" w:line="330" w:lineRule="auto"/>
            </w:pPr>
            <w:r>
              <w:rPr>
                <w:rFonts w:ascii="Consolas" w:hAnsi="Consolas" w:cs="Consolas"/>
                <w:color w:val="B4633A"/>
                <w:sz w:val="17"/>
                <w:szCs w:val="17"/>
              </w:rPr>
              <w:t xml:space="preserve">A</w:t>
            </w:r>
          </w:p>
        </w:tc>
        <w:tc>
          <w:tcPr>
            <w:tcW w:w="8965" w:type="dxa"/>
            <w:tcBorders>
              <w:bottom w:val="single" w:sz="4" w:space="0" w:color="EDEAE3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>
            <w:pPr>
              <w:spacing w:before="0" w:after="0" w:line="330" w:lineRule="auto"/>
            </w:pPr>
            <w:r>
              <w:rPr>
                <w:rFonts w:ascii="Calibri" w:hAnsi="Calibri" w:cs="Calibri"/>
                <w:b/>
                <w:color w:val="12352A"/>
                <w:sz w:val="20"/>
                <w:szCs w:val="20"/>
              </w:rPr>
              <w:t xml:space="preserve">Referral Registration Form</w:t>
            </w:r>
            <w:r>
              <w:rPr>
                <w:rFonts w:ascii="Calibri" w:hAnsi="Calibri" w:cs="Calibri"/>
                <w:color w:val="8A9490"/>
                <w:sz w:val="19"/>
                <w:szCs w:val="19"/>
              </w:rPr>
              <w:t xml:space="preserve">   ·   Secure referral and activation record</w:t>
            </w:r>
          </w:p>
        </w:tc>
      </w:tr>
    </w:tbl>
    <w:p>
      <w:pPr>
        <w:pageBreakBefore/>
        <w:keepNext/>
        <w:spacing w:before="0" w:after="40" w:line="330" w:lineRule="auto"/>
      </w:pPr>
      <w:r>
        <w:rPr>
          <w:rFonts w:ascii="Consolas" w:hAnsi="Consolas" w:cs="Consolas"/>
          <w:spacing w:val="10"/>
          <w:color w:val="B4633A"/>
          <w:sz w:val="18"/>
          <w:szCs w:val="18"/>
        </w:rPr>
        <w:t xml:space="preserve">E</w:t>
      </w:r>
    </w:p>
    <w:p>
      <w:pPr>
        <w:keepNext/>
        <w:spacing w:before="0" w:after="60" w:line="240" w:lineRule="auto"/>
      </w:pPr>
      <w:r>
        <w:rPr>
          <w:rFonts w:ascii="Georgia" w:hAnsi="Georgia" w:cs="Georgia"/>
          <w:color w:val="12352A"/>
          <w:sz w:val="52"/>
          <w:szCs w:val="52"/>
        </w:rPr>
        <w:t xml:space="preserve">Partner Email Template</w:t>
      </w:r>
    </w:p>
    <w:p>
      <w:pPr>
        <w:keepNext/>
        <w:pBdr>
          <w:bottom w:val="single" w:sz="12" w:space="2" w:color="12352A"/>
        </w:pBdr>
        <w:spacing w:before="0" w:after="220" w:line="330" w:lineRule="auto"/>
      </w:pPr>
      <w:r>
        <w:rPr>
          <w:rFonts w:ascii="Calibri" w:hAnsi="Calibri" w:cs="Calibri"/>
          <w:color w:val="6B7570"/>
          <w:sz w:val="18"/>
          <w:szCs w:val="18"/>
        </w:rPr>
        <w:t xml:space="preserve">Editable introductory correspondence  ·  Customise, approve and issue</w:t>
      </w:r>
    </w:p>
    <w:tbl>
      <w:tblPr>
        <w:tblW w:w="5000" w:type="pc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65"/>
      </w:tblGrid>
      <w:tr>
        <w:tc>
          <w:tcPr>
            <w:tcW w:w="9865" w:type="dxa"/>
            <w:shd w:val="clear" w:color="auto" w:fill="F6F4EF"/>
            <w:tcBorders>
              <w:top w:val="single" w:sz="16" w:space="0" w:color="B4633A"/>
            </w:tcBorders>
            <w:tcMar>
              <w:top w:w="200" w:type="dxa"/>
              <w:left w:w="240" w:type="dxa"/>
              <w:bottom w:w="220" w:type="dxa"/>
              <w:right w:w="240" w:type="dxa"/>
            </w:tcMar>
          </w:tcPr>
          <w:p>
            <w:pPr>
              <w:spacing w:before="0" w:after="60" w:line="330" w:lineRule="auto"/>
            </w:pPr>
            <w:r>
              <w:rPr>
                <w:rFonts w:ascii="Consolas" w:hAnsi="Consolas" w:cs="Consolas"/>
                <w:caps/>
                <w:spacing w:val="16"/>
                <w:color w:val="B4633A"/>
                <w:sz w:val="14"/>
                <w:szCs w:val="14"/>
              </w:rPr>
              <w:t xml:space="preserve">How to use this page</w:t>
            </w:r>
          </w:p>
          <w:p>
            <w:pPr>
              <w:spacing w:before="0" w:after="0" w:line="330" w:lineRule="auto"/>
            </w:pPr>
            <w:r>
              <w:rPr>
                <w:rFonts w:ascii="Calibri" w:hAnsi="Calibri" w:cs="Calibri"/>
                <w:color w:val="3B443F"/>
                <w:sz w:val="18"/>
                <w:szCs w:val="18"/>
              </w:rPr>
              <w:t xml:space="preserve">Replace all bracketed fields, attach the agreement and commercial schedule, obtain internal approval, and delete this guidance card before issue.</w:t>
            </w:r>
          </w:p>
        </w:tc>
      </w:tr>
    </w:tbl>
    <w:p>
      <w:pPr>
        <w:spacing w:before="0" w:after="180" w:line="330" w:lineRule="auto"/>
      </w:pPr>
    </w:p>
    <w:tbl>
      <w:tblPr>
        <w:tblW w:w="5000" w:type="pc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65"/>
      </w:tblGrid>
      <w:tr>
        <w:tc>
          <w:tcPr>
            <w:tcW w:w="9865" w:type="dxa"/>
            <w:tcBorders>
              <w:top w:val="single" w:sz="4" w:space="0" w:color="E2DED6"/>
              <w:bottom w:val="single" w:sz="4" w:space="0" w:color="E2DED6"/>
              <w:left w:val="single" w:sz="4" w:space="0" w:color="E2DED6"/>
              <w:right w:val="single" w:sz="4" w:space="0" w:color="E2DED6"/>
            </w:tcBorders>
            <w:tcMar>
              <w:top w:w="300" w:type="dxa"/>
              <w:left w:w="320" w:type="dxa"/>
              <w:bottom w:w="320" w:type="dxa"/>
              <w:right w:w="320" w:type="dxa"/>
            </w:tcMar>
          </w:tcPr>
          <w:p>
            <w:pPr>
              <w:spacing w:before="0" w:after="40" w:line="330" w:lineRule="auto"/>
            </w:pPr>
            <w:r>
              <w:rPr>
                <w:rFonts w:ascii="Consolas" w:hAnsi="Consolas" w:cs="Consolas"/>
                <w:caps/>
                <w:spacing w:val="16"/>
                <w:color w:val="8A9490"/>
                <w:sz w:val="14"/>
                <w:szCs w:val="14"/>
              </w:rPr>
              <w:t xml:space="preserve">Subject</w:t>
            </w:r>
          </w:p>
          <w:p>
            <w:pPr>
              <w:pBdr>
                <w:bottom w:val="single" w:sz="4" w:space="2" w:color="EDEAE3"/>
              </w:pBdr>
              <w:spacing w:before="0" w:after="200" w:line="330" w:lineRule="auto"/>
            </w:pPr>
            <w:r>
              <w:rPr>
                <w:rFonts w:ascii="Georgia" w:hAnsi="Georgia" w:cs="Georgia"/>
                <w:color w:val="12352A"/>
                <w:sz w:val="30"/>
                <w:szCs w:val="30"/>
              </w:rPr>
              <w:t xml:space="preserve">Strategic Referral Partnership - </w:t>
            </w:r>
            <w:r>
              <w:rPr>
                <w:rFonts w:ascii="Consolas" w:hAnsi="Consolas" w:cs="Consolas"/>
                <w:color w:val="8A6A2F"/>
                <w:sz w:val="17"/>
                <w:szCs w:val="17"/>
                <w:shd w:val="clear" w:color="auto" w:fill="FAF3E8"/>
              </w:rPr>
              <w:t xml:space="preserve">&lt;&lt;BUYER'S AGENCY NAME&gt;&gt;</w:t>
            </w:r>
            <w:r>
              <w:rPr>
                <w:rFonts w:ascii="Georgia" w:hAnsi="Georgia" w:cs="Georgia"/>
                <w:color w:val="12352A"/>
                <w:sz w:val="30"/>
                <w:szCs w:val="30"/>
              </w:rPr>
              <w:t xml:space="preserve"> and </w:t>
            </w:r>
            <w:r>
              <w:rPr>
                <w:rFonts w:ascii="Consolas" w:hAnsi="Consolas" w:cs="Consolas"/>
                <w:color w:val="8A6A2F"/>
                <w:sz w:val="17"/>
                <w:szCs w:val="17"/>
                <w:shd w:val="clear" w:color="auto" w:fill="FAF3E8"/>
              </w:rPr>
              <w:t xml:space="preserve">&lt;&lt;FINANCE PARTNER NAME&gt;&gt;</w:t>
            </w:r>
          </w:p>
          <w:p>
            <w:pPr>
              <w:spacing w:before="0" w:after="140" w:line="330" w:lineRule="auto"/>
            </w:pPr>
            <w:r>
              <w:rPr>
                <w:rFonts w:ascii="Calibri" w:hAnsi="Calibri" w:cs="Calibri"/>
                <w:color w:val="242B27"/>
                <w:sz w:val="20"/>
                <w:szCs w:val="20"/>
              </w:rPr>
              <w:t xml:space="preserve">Hi </w:t>
            </w:r>
            <w:r>
              <w:rPr>
                <w:rFonts w:ascii="Consolas" w:hAnsi="Consolas" w:cs="Consolas"/>
                <w:color w:val="8A6A2F"/>
                <w:sz w:val="17"/>
                <w:szCs w:val="17"/>
                <w:shd w:val="clear" w:color="auto" w:fill="FAF3E8"/>
              </w:rPr>
              <w:t xml:space="preserve">&lt;&lt;FIRST NAME&gt;&gt;</w:t>
            </w:r>
            <w:r>
              <w:rPr>
                <w:rFonts w:ascii="Calibri" w:hAnsi="Calibri" w:cs="Calibri"/>
                <w:color w:val="242B27"/>
                <w:sz w:val="20"/>
                <w:szCs w:val="20"/>
              </w:rPr>
              <w:t xml:space="preserve">,</w:t>
            </w:r>
          </w:p>
          <w:p>
            <w:pPr>
              <w:spacing w:before="0" w:after="140" w:line="330" w:lineRule="auto"/>
            </w:pPr>
            <w:r>
              <w:rPr>
                <w:rFonts w:ascii="Calibri" w:hAnsi="Calibri" w:cs="Calibri"/>
                <w:color w:val="242B27"/>
                <w:sz w:val="20"/>
                <w:szCs w:val="20"/>
              </w:rPr>
              <w:t xml:space="preserve">Thank you for discussing a potential referral partnership between </w:t>
            </w:r>
            <w:r>
              <w:rPr>
                <w:rFonts w:ascii="Consolas" w:hAnsi="Consolas" w:cs="Consolas"/>
                <w:color w:val="8A6A2F"/>
                <w:sz w:val="17"/>
                <w:szCs w:val="17"/>
                <w:shd w:val="clear" w:color="auto" w:fill="FAF3E8"/>
              </w:rPr>
              <w:t xml:space="preserve">&lt;&lt;BUYER'S AGENCY NAME&gt;&gt;</w:t>
            </w:r>
            <w:r>
              <w:rPr>
                <w:rFonts w:ascii="Calibri" w:hAnsi="Calibri" w:cs="Calibri"/>
                <w:color w:val="242B27"/>
                <w:sz w:val="20"/>
                <w:szCs w:val="20"/>
              </w:rPr>
              <w:t xml:space="preserve"> and </w:t>
            </w:r>
            <w:r>
              <w:rPr>
                <w:rFonts w:ascii="Consolas" w:hAnsi="Consolas" w:cs="Consolas"/>
                <w:color w:val="8A6A2F"/>
                <w:sz w:val="17"/>
                <w:szCs w:val="17"/>
                <w:shd w:val="clear" w:color="auto" w:fill="FAF3E8"/>
              </w:rPr>
              <w:t xml:space="preserve">&lt;&lt;FINANCE PARTNER NAME&gt;&gt;</w:t>
            </w:r>
            <w:r>
              <w:rPr>
                <w:rFonts w:ascii="Calibri" w:hAnsi="Calibri" w:cs="Calibri"/>
                <w:color w:val="242B27"/>
                <w:sz w:val="20"/>
                <w:szCs w:val="20"/>
              </w:rPr>
              <w:t xml:space="preserve">.</w:t>
            </w:r>
          </w:p>
          <w:p>
            <w:pPr>
              <w:spacing w:before="0" w:after="140" w:line="330" w:lineRule="auto"/>
            </w:pPr>
            <w:r>
              <w:rPr>
                <w:rFonts w:ascii="Calibri" w:hAnsi="Calibri" w:cs="Calibri"/>
                <w:color w:val="242B27"/>
                <w:sz w:val="20"/>
                <w:szCs w:val="20"/>
              </w:rPr>
              <w:t xml:space="preserve">Attached is our editable Strategic Property Referral Agreement. It is designed for circumstances where your finance team identifies a client who may benefit from independent property strategy, buyer advocacy, property selection, due diligence or acquisition support.</w:t>
            </w:r>
          </w:p>
          <w:p>
            <w:pPr>
              <w:spacing w:before="0" w:after="140" w:line="330" w:lineRule="auto"/>
            </w:pPr>
            <w:r>
              <w:rPr>
                <w:rFonts w:ascii="Calibri" w:hAnsi="Calibri" w:cs="Calibri"/>
                <w:color w:val="242B27"/>
                <w:sz w:val="20"/>
                <w:szCs w:val="20"/>
              </w:rPr>
              <w:t xml:space="preserve">The commercial schedule has deliberately been left open so the parties can negotiate the referral model, qualifying event, payment timeframe, GST treatment and exclusions before execution.</w:t>
            </w:r>
          </w:p>
          <w:p>
            <w:pPr>
              <w:spacing w:before="0" w:after="140" w:line="330" w:lineRule="auto"/>
            </w:pPr>
            <w:r>
              <w:rPr>
                <w:rFonts w:ascii="Calibri" w:hAnsi="Calibri" w:cs="Calibri"/>
                <w:color w:val="242B27"/>
                <w:sz w:val="20"/>
                <w:szCs w:val="20"/>
              </w:rPr>
              <w:t xml:space="preserve">Please have the agreement reviewed by your legal, compliance, ACL-holder and aggregator teams where applicable. Once the commercial schedule is agreed, we can finalise the document for electronic execution and activate the referral workflow.</w:t>
            </w:r>
          </w:p>
          <w:p>
            <w:pPr>
              <w:spacing w:before="0" w:after="140" w:line="330" w:lineRule="auto"/>
            </w:pPr>
            <w:r>
              <w:rPr>
                <w:rFonts w:ascii="Calibri" w:hAnsi="Calibri" w:cs="Calibri"/>
                <w:color w:val="242B27"/>
                <w:sz w:val="20"/>
                <w:szCs w:val="20"/>
              </w:rPr>
              <w:t xml:space="preserve">Kind regards,</w:t>
            </w:r>
          </w:p>
          <w:p>
            <w:pPr>
              <w:pBdr>
                <w:top w:val="single" w:sz="4" w:space="2" w:color="EDEAE3"/>
              </w:pBdr>
              <w:spacing w:before="160" w:after="20" w:line="330" w:lineRule="auto"/>
            </w:pPr>
            <w:r>
              <w:rPr>
                <w:rFonts w:ascii="Consolas" w:hAnsi="Consolas" w:cs="Consolas"/>
                <w:color w:val="8A6A2F"/>
                <w:sz w:val="17"/>
                <w:szCs w:val="17"/>
                <w:shd w:val="clear" w:color="auto" w:fill="FAF3E8"/>
              </w:rPr>
              <w:t xml:space="preserve">&lt;&lt;SENDER NAME&gt;&gt;</w:t>
            </w:r>
          </w:p>
          <w:p>
            <w:pPr>
              <w:spacing w:before="0" w:after="20" w:line="330" w:lineRule="auto"/>
            </w:pPr>
            <w:r>
              <w:rPr>
                <w:rFonts w:ascii="Consolas" w:hAnsi="Consolas" w:cs="Consolas"/>
                <w:color w:val="8A6A2F"/>
                <w:sz w:val="17"/>
                <w:szCs w:val="17"/>
                <w:shd w:val="clear" w:color="auto" w:fill="FAF3E8"/>
              </w:rPr>
              <w:t xml:space="preserve">&lt;&lt;TITLE&gt;&gt;</w:t>
            </w:r>
          </w:p>
          <w:p>
            <w:pPr>
              <w:spacing w:before="0" w:after="20" w:line="330" w:lineRule="auto"/>
            </w:pPr>
            <w:r>
              <w:rPr>
                <w:rFonts w:ascii="Consolas" w:hAnsi="Consolas" w:cs="Consolas"/>
                <w:color w:val="8A6A2F"/>
                <w:sz w:val="17"/>
                <w:szCs w:val="17"/>
                <w:shd w:val="clear" w:color="auto" w:fill="FAF3E8"/>
              </w:rPr>
              <w:t xml:space="preserve">&lt;&lt;COMPANY NAME&gt;&gt;</w:t>
            </w:r>
          </w:p>
          <w:p>
            <w:pPr>
              <w:spacing w:before="0" w:after="0" w:line="330" w:lineRule="auto"/>
            </w:pPr>
            <w:r>
              <w:rPr>
                <w:rFonts w:ascii="Consolas" w:hAnsi="Consolas" w:cs="Consolas"/>
                <w:color w:val="8A6A2F"/>
                <w:sz w:val="17"/>
                <w:szCs w:val="17"/>
                <w:shd w:val="clear" w:color="auto" w:fill="FAF3E8"/>
              </w:rPr>
              <w:t xml:space="preserve">&lt;&lt;PHONE&gt;&gt;</w:t>
            </w:r>
            <w:r>
              <w:rPr>
                <w:rFonts w:ascii="Consolas" w:hAnsi="Consolas" w:cs="Consolas"/>
                <w:color w:val="8A9490"/>
                <w:sz w:val="17"/>
                <w:szCs w:val="17"/>
              </w:rPr>
              <w:t xml:space="preserve">  |  </w:t>
            </w:r>
            <w:r>
              <w:rPr>
                <w:rFonts w:ascii="Consolas" w:hAnsi="Consolas" w:cs="Consolas"/>
                <w:color w:val="8A6A2F"/>
                <w:sz w:val="17"/>
                <w:szCs w:val="17"/>
                <w:shd w:val="clear" w:color="auto" w:fill="FAF3E8"/>
              </w:rPr>
              <w:t xml:space="preserve">&lt;&lt;EMAIL&gt;&gt;</w:t>
            </w:r>
            <w:r>
              <w:rPr>
                <w:rFonts w:ascii="Consolas" w:hAnsi="Consolas" w:cs="Consolas"/>
                <w:color w:val="8A9490"/>
                <w:sz w:val="17"/>
                <w:szCs w:val="17"/>
              </w:rPr>
              <w:t xml:space="preserve">  |  </w:t>
            </w:r>
            <w:r>
              <w:rPr>
                <w:rFonts w:ascii="Consolas" w:hAnsi="Consolas" w:cs="Consolas"/>
                <w:color w:val="8A6A2F"/>
                <w:sz w:val="17"/>
                <w:szCs w:val="17"/>
                <w:shd w:val="clear" w:color="auto" w:fill="FAF3E8"/>
              </w:rPr>
              <w:t xml:space="preserve">&lt;&lt;WEBSITE&gt;&gt;</w:t>
            </w:r>
          </w:p>
        </w:tc>
      </w:tr>
    </w:tbl>
    <w:p>
      <w:pPr>
        <w:spacing w:before="0" w:after="120" w:line="330" w:lineRule="auto"/>
      </w:pPr>
    </w:p>
    <w:p>
      <w:pPr>
        <w:spacing w:before="0" w:after="100" w:line="330" w:lineRule="auto"/>
      </w:pPr>
      <w:r>
        <w:rPr>
          <w:rFonts w:ascii="Consolas" w:hAnsi="Consolas" w:cs="Consolas"/>
          <w:caps/>
          <w:spacing w:val="14"/>
          <w:color w:val="B4633A"/>
          <w:sz w:val="14"/>
          <w:szCs w:val="14"/>
        </w:rPr>
        <w:t xml:space="preserve">Activation checklist</w:t>
      </w:r>
    </w:p>
    <w:tbl>
      <w:tblPr>
        <w:tblW w:w="5000" w:type="pc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66"/>
        <w:gridCol w:w="2466"/>
        <w:gridCol w:w="2466"/>
        <w:gridCol w:w="2466"/>
      </w:tblGrid>
      <w:tr>
        <w:tc>
          <w:tcPr>
            <w:tcW w:w="2466" w:type="dxa"/>
            <w:tcMar>
              <w:top w:w="120" w:type="dxa"/>
              <w:left w:w="0" w:type="dxa"/>
              <w:bottom w:w="0" w:type="dxa"/>
              <w:right w:w="260" w:type="dxa"/>
            </w:tcMar>
          </w:tcPr>
          <w:p>
            <w:pPr>
              <w:pBdr>
                <w:top w:val="single" w:sz="8" w:space="2" w:color="12352A"/>
              </w:pBdr>
              <w:spacing w:before="0" w:after="40" w:line="330" w:lineRule="auto"/>
            </w:pPr>
            <w:r>
              <w:rPr>
                <w:rFonts w:ascii="Consolas" w:hAnsi="Consolas" w:cs="Consolas"/>
                <w:color w:val="B4633A"/>
                <w:sz w:val="16"/>
                <w:szCs w:val="16"/>
              </w:rPr>
              <w:t xml:space="preserve">1</w:t>
            </w:r>
          </w:p>
          <w:p>
            <w:pPr>
              <w:spacing w:before="0" w:after="40" w:line="330" w:lineRule="auto"/>
            </w:pPr>
            <w:r>
              <w:rPr>
                <w:rFonts w:ascii="Consolas" w:hAnsi="Consolas" w:cs="Consolas"/>
                <w:caps/>
                <w:spacing w:val="12"/>
                <w:color w:val="12352A"/>
                <w:sz w:val="16"/>
                <w:szCs w:val="16"/>
              </w:rPr>
              <w:t xml:space="preserve">Customise</w:t>
            </w:r>
          </w:p>
          <w:p>
            <w:pPr>
              <w:spacing w:before="0" w:after="0" w:line="300" w:lineRule="auto"/>
            </w:pPr>
            <w:r>
              <w:rPr>
                <w:rFonts w:ascii="Calibri" w:hAnsi="Calibri" w:cs="Calibri"/>
                <w:color w:val="6B7570"/>
                <w:sz w:val="17"/>
                <w:szCs w:val="17"/>
              </w:rPr>
              <w:t xml:space="preserve">Company, contact and commercial fields</w:t>
            </w:r>
          </w:p>
        </w:tc>
        <w:tc>
          <w:tcPr>
            <w:tcW w:w="2466" w:type="dxa"/>
            <w:tcMar>
              <w:top w:w="120" w:type="dxa"/>
              <w:left w:w="0" w:type="dxa"/>
              <w:bottom w:w="0" w:type="dxa"/>
              <w:right w:w="260" w:type="dxa"/>
            </w:tcMar>
          </w:tcPr>
          <w:p>
            <w:pPr>
              <w:pBdr>
                <w:top w:val="single" w:sz="8" w:space="2" w:color="12352A"/>
              </w:pBdr>
              <w:spacing w:before="0" w:after="40" w:line="330" w:lineRule="auto"/>
            </w:pPr>
            <w:r>
              <w:rPr>
                <w:rFonts w:ascii="Consolas" w:hAnsi="Consolas" w:cs="Consolas"/>
                <w:color w:val="B4633A"/>
                <w:sz w:val="16"/>
                <w:szCs w:val="16"/>
              </w:rPr>
              <w:t xml:space="preserve">2</w:t>
            </w:r>
          </w:p>
          <w:p>
            <w:pPr>
              <w:spacing w:before="0" w:after="40" w:line="330" w:lineRule="auto"/>
            </w:pPr>
            <w:r>
              <w:rPr>
                <w:rFonts w:ascii="Consolas" w:hAnsi="Consolas" w:cs="Consolas"/>
                <w:caps/>
                <w:spacing w:val="12"/>
                <w:color w:val="12352A"/>
                <w:sz w:val="16"/>
                <w:szCs w:val="16"/>
              </w:rPr>
              <w:t xml:space="preserve">Review</w:t>
            </w:r>
          </w:p>
          <w:p>
            <w:pPr>
              <w:spacing w:before="0" w:after="0" w:line="300" w:lineRule="auto"/>
            </w:pPr>
            <w:r>
              <w:rPr>
                <w:rFonts w:ascii="Calibri" w:hAnsi="Calibri" w:cs="Calibri"/>
                <w:color w:val="6B7570"/>
                <w:sz w:val="17"/>
                <w:szCs w:val="17"/>
              </w:rPr>
              <w:t xml:space="preserve">Legal, compliance, ACL and aggregator</w:t>
            </w:r>
          </w:p>
        </w:tc>
        <w:tc>
          <w:tcPr>
            <w:tcW w:w="2466" w:type="dxa"/>
            <w:tcMar>
              <w:top w:w="120" w:type="dxa"/>
              <w:left w:w="0" w:type="dxa"/>
              <w:bottom w:w="0" w:type="dxa"/>
              <w:right w:w="260" w:type="dxa"/>
            </w:tcMar>
          </w:tcPr>
          <w:p>
            <w:pPr>
              <w:pBdr>
                <w:top w:val="single" w:sz="8" w:space="2" w:color="12352A"/>
              </w:pBdr>
              <w:spacing w:before="0" w:after="40" w:line="330" w:lineRule="auto"/>
            </w:pPr>
            <w:r>
              <w:rPr>
                <w:rFonts w:ascii="Consolas" w:hAnsi="Consolas" w:cs="Consolas"/>
                <w:color w:val="B4633A"/>
                <w:sz w:val="16"/>
                <w:szCs w:val="16"/>
              </w:rPr>
              <w:t xml:space="preserve">3</w:t>
            </w:r>
          </w:p>
          <w:p>
            <w:pPr>
              <w:spacing w:before="0" w:after="40" w:line="330" w:lineRule="auto"/>
            </w:pPr>
            <w:r>
              <w:rPr>
                <w:rFonts w:ascii="Consolas" w:hAnsi="Consolas" w:cs="Consolas"/>
                <w:caps/>
                <w:spacing w:val="12"/>
                <w:color w:val="12352A"/>
                <w:sz w:val="16"/>
                <w:szCs w:val="16"/>
              </w:rPr>
              <w:t xml:space="preserve">Execute</w:t>
            </w:r>
          </w:p>
          <w:p>
            <w:pPr>
              <w:spacing w:before="0" w:after="0" w:line="300" w:lineRule="auto"/>
            </w:pPr>
            <w:r>
              <w:rPr>
                <w:rFonts w:ascii="Calibri" w:hAnsi="Calibri" w:cs="Calibri"/>
                <w:color w:val="6B7570"/>
                <w:sz w:val="17"/>
                <w:szCs w:val="17"/>
              </w:rPr>
              <w:t xml:space="preserve">Approved electronic or wet signature</w:t>
            </w:r>
          </w:p>
        </w:tc>
        <w:tc>
          <w:tcPr>
            <w:tcW w:w="2466" w:type="dxa"/>
            <w:tcMar>
              <w:top w:w="120" w:type="dxa"/>
              <w:left w:w="0" w:type="dxa"/>
              <w:bottom w:w="0" w:type="dxa"/>
              <w:right w:w="0" w:type="dxa"/>
            </w:tcMar>
          </w:tcPr>
          <w:p>
            <w:pPr>
              <w:pBdr>
                <w:top w:val="single" w:sz="8" w:space="2" w:color="12352A"/>
              </w:pBdr>
              <w:spacing w:before="0" w:after="40" w:line="330" w:lineRule="auto"/>
            </w:pPr>
            <w:r>
              <w:rPr>
                <w:rFonts w:ascii="Consolas" w:hAnsi="Consolas" w:cs="Consolas"/>
                <w:color w:val="B4633A"/>
                <w:sz w:val="16"/>
                <w:szCs w:val="16"/>
              </w:rPr>
              <w:t xml:space="preserve">4</w:t>
            </w:r>
          </w:p>
          <w:p>
            <w:pPr>
              <w:spacing w:before="0" w:after="40" w:line="330" w:lineRule="auto"/>
            </w:pPr>
            <w:r>
              <w:rPr>
                <w:rFonts w:ascii="Consolas" w:hAnsi="Consolas" w:cs="Consolas"/>
                <w:caps/>
                <w:spacing w:val="12"/>
                <w:color w:val="12352A"/>
                <w:sz w:val="16"/>
                <w:szCs w:val="16"/>
              </w:rPr>
              <w:t xml:space="preserve">Activate</w:t>
            </w:r>
          </w:p>
          <w:p>
            <w:pPr>
              <w:spacing w:before="0" w:after="0" w:line="300" w:lineRule="auto"/>
            </w:pPr>
            <w:r>
              <w:rPr>
                <w:rFonts w:ascii="Calibri" w:hAnsi="Calibri" w:cs="Calibri"/>
                <w:color w:val="6B7570"/>
                <w:sz w:val="17"/>
                <w:szCs w:val="17"/>
              </w:rPr>
              <w:t xml:space="preserve">Secure referral and reporting workflow</w:t>
            </w:r>
          </w:p>
        </w:tc>
      </w:tr>
    </w:tbl>
    <w:p>
      <w:pPr>
        <w:spacing w:before="0" w:after="140" w:line="330" w:lineRule="auto"/>
      </w:pPr>
    </w:p>
    <w:tbl>
      <w:tblPr>
        <w:tblW w:w="5000" w:type="pc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65"/>
      </w:tblGrid>
      <w:tr>
        <w:tc>
          <w:tcPr>
            <w:tcW w:w="9865" w:type="dxa"/>
            <w:shd w:val="clear" w:color="auto" w:fill="12352A"/>
            <w:tcMar>
              <w:top w:w="240" w:type="dxa"/>
              <w:left w:w="300" w:type="dxa"/>
              <w:bottom w:w="240" w:type="dxa"/>
              <w:right w:w="300" w:type="dxa"/>
            </w:tcMar>
          </w:tcPr>
          <w:p>
            <w:pPr>
              <w:spacing w:before="0" w:after="80" w:line="330" w:lineRule="auto"/>
            </w:pPr>
            <w:r>
              <w:rPr>
                <w:rFonts w:ascii="Consolas" w:hAnsi="Consolas" w:cs="Consolas"/>
                <w:caps/>
                <w:spacing w:val="16"/>
                <w:color w:val="C9B78E"/>
                <w:sz w:val="14"/>
                <w:szCs w:val="14"/>
              </w:rPr>
              <w:t xml:space="preserve">Attachments</w:t>
            </w:r>
          </w:p>
          <w:p>
            <w:pPr>
              <w:spacing w:before="0" w:after="40" w:line="330" w:lineRule="auto"/>
            </w:pPr>
            <w:r>
              <w:rPr>
                <w:rFonts w:ascii="Calibri" w:hAnsi="Calibri" w:cs="Calibri"/>
                <w:color w:val="E7EAE6"/>
                <w:sz w:val="18"/>
                <w:szCs w:val="18"/>
              </w:rPr>
              <w:t xml:space="preserve">·   Strategic Property Referral Agreement</w:t>
            </w:r>
          </w:p>
          <w:p>
            <w:pPr>
              <w:spacing w:before="0" w:after="40" w:line="330" w:lineRule="auto"/>
            </w:pPr>
            <w:r>
              <w:rPr>
                <w:rFonts w:ascii="Calibri" w:hAnsi="Calibri" w:cs="Calibri"/>
                <w:color w:val="E7EAE6"/>
                <w:sz w:val="18"/>
                <w:szCs w:val="18"/>
              </w:rPr>
              <w:t xml:space="preserve">·   Commercial Schedule</w:t>
            </w:r>
          </w:p>
          <w:p>
            <w:pPr>
              <w:spacing w:before="0" w:after="40" w:line="330" w:lineRule="auto"/>
            </w:pPr>
            <w:r>
              <w:rPr>
                <w:rFonts w:ascii="Calibri" w:hAnsi="Calibri" w:cs="Calibri"/>
                <w:color w:val="E7EAE6"/>
                <w:sz w:val="18"/>
                <w:szCs w:val="18"/>
              </w:rPr>
              <w:t xml:space="preserve">·   Referral Registration Form</w:t>
            </w:r>
          </w:p>
        </w:tc>
      </w:tr>
    </w:tbl>
    <w:p>
      <w:pPr>
        <w:pageBreakBefore/>
        <w:keepNext/>
        <w:spacing w:before="0" w:after="40" w:line="330" w:lineRule="auto"/>
      </w:pPr>
      <w:r>
        <w:rPr>
          <w:rFonts w:ascii="Consolas" w:hAnsi="Consolas" w:cs="Consolas"/>
          <w:spacing w:val="10"/>
          <w:color w:val="B4633A"/>
          <w:sz w:val="18"/>
          <w:szCs w:val="18"/>
        </w:rPr>
        <w:t xml:space="preserve">1</w:t>
      </w:r>
    </w:p>
    <w:p>
      <w:pPr>
        <w:keepNext/>
        <w:spacing w:before="0" w:after="60" w:line="240" w:lineRule="auto"/>
      </w:pPr>
      <w:r>
        <w:rPr>
          <w:rFonts w:ascii="Georgia" w:hAnsi="Georgia" w:cs="Georgia"/>
          <w:color w:val="12352A"/>
          <w:sz w:val="52"/>
          <w:szCs w:val="52"/>
        </w:rPr>
        <w:t xml:space="preserve">Agreement Details</w:t>
      </w:r>
    </w:p>
    <w:p>
      <w:pPr>
        <w:keepNext/>
        <w:pBdr>
          <w:bottom w:val="single" w:sz="12" w:space="2" w:color="12352A"/>
        </w:pBdr>
        <w:spacing w:before="0" w:after="220" w:line="330" w:lineRule="auto"/>
      </w:pPr>
      <w:r>
        <w:rPr>
          <w:rFonts w:ascii="Calibri" w:hAnsi="Calibri" w:cs="Calibri"/>
          <w:color w:val="6B7570"/>
          <w:sz w:val="18"/>
          <w:szCs w:val="18"/>
        </w:rPr>
        <w:t xml:space="preserve">Complete before issue  ·  Core entity and authority information</w:t>
      </w:r>
    </w:p>
    <w:tbl>
      <w:tblPr>
        <w:tblW w:w="5000" w:type="pc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65"/>
      </w:tblGrid>
      <w:tr>
        <w:tc>
          <w:tcPr>
            <w:tcW w:w="9865" w:type="dxa"/>
            <w:shd w:val="clear" w:color="auto" w:fill="F6F4EF"/>
            <w:tcBorders>
              <w:top w:val="single" w:sz="16" w:space="0" w:color="B4633A"/>
            </w:tcBorders>
            <w:tcMar>
              <w:top w:w="200" w:type="dxa"/>
              <w:left w:w="240" w:type="dxa"/>
              <w:bottom w:w="220" w:type="dxa"/>
              <w:right w:w="240" w:type="dxa"/>
            </w:tcMar>
          </w:tcPr>
          <w:p>
            <w:pPr>
              <w:spacing w:before="0" w:after="60" w:line="330" w:lineRule="auto"/>
            </w:pPr>
            <w:r>
              <w:rPr>
                <w:rFonts w:ascii="Consolas" w:hAnsi="Consolas" w:cs="Consolas"/>
                <w:caps/>
                <w:spacing w:val="16"/>
                <w:color w:val="B4633A"/>
                <w:sz w:val="14"/>
                <w:szCs w:val="14"/>
              </w:rPr>
              <w:t xml:space="preserve">Completion standard</w:t>
            </w:r>
          </w:p>
          <w:p>
            <w:pPr>
              <w:spacing w:before="0" w:after="0" w:line="330" w:lineRule="auto"/>
            </w:pPr>
            <w:r>
              <w:rPr>
                <w:rFonts w:ascii="Calibri" w:hAnsi="Calibri" w:cs="Calibri"/>
                <w:color w:val="3B443F"/>
                <w:sz w:val="18"/>
                <w:szCs w:val="18"/>
              </w:rPr>
              <w:t xml:space="preserve">Use the exact legal entity names, registration details, licence information and service addresses that will appear in the executed agreement.</w:t>
            </w:r>
          </w:p>
        </w:tc>
      </w:tr>
    </w:tbl>
    <w:p>
      <w:pPr>
        <w:spacing w:before="0" w:after="180" w:line="330" w:lineRule="auto"/>
      </w:pPr>
    </w:p>
    <w:tbl>
      <w:tblPr>
        <w:tblW w:w="5000" w:type="pc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69"/>
        <w:gridCol w:w="2664"/>
        <w:gridCol w:w="2269"/>
        <w:gridCol w:w="2664"/>
      </w:tblGrid>
      <w:tr>
        <w:tc>
          <w:tcPr>
            <w:tcW w:w="2269" w:type="dxa"/>
            <w:tcBorders>
              <w:top w:val="single" w:sz="4" w:space="0" w:color="E2DED6"/>
            </w:tcBorders>
            <w:tcMar>
              <w:top w:w="200" w:type="dxa"/>
              <w:left w:w="0" w:type="dxa"/>
              <w:bottom w:w="200" w:type="dxa"/>
              <w:right w:w="180" w:type="dxa"/>
            </w:tcMar>
          </w:tcPr>
          <w:p>
            <w:pPr>
              <w:spacing w:before="0" w:after="0" w:line="330" w:lineRule="auto"/>
            </w:pPr>
            <w:r>
              <w:rPr>
                <w:rFonts w:ascii="Consolas" w:hAnsi="Consolas" w:cs="Consolas"/>
                <w:caps/>
                <w:spacing w:val="12"/>
                <w:color w:val="12352A"/>
                <w:sz w:val="14"/>
                <w:szCs w:val="14"/>
              </w:rPr>
              <w:t xml:space="preserve">Agreement date</w:t>
            </w:r>
          </w:p>
        </w:tc>
        <w:tc>
          <w:tcPr>
            <w:tcW w:w="2664" w:type="dxa"/>
            <w:tcBorders>
              <w:top w:val="single" w:sz="4" w:space="0" w:color="E2DED6"/>
            </w:tcBorders>
            <w:tcMar>
              <w:top w:w="200" w:type="dxa"/>
              <w:left w:w="0" w:type="dxa"/>
              <w:bottom w:w="200" w:type="dxa"/>
              <w:right w:w="260" w:type="dxa"/>
            </w:tcMar>
          </w:tcPr>
          <w:p>
            <w:pPr>
              <w:spacing w:before="0" w:after="0" w:line="330" w:lineRule="auto"/>
            </w:pPr>
            <w:r>
              <w:rPr>
                <w:rFonts w:ascii="Consolas" w:hAnsi="Consolas" w:cs="Consolas"/>
                <w:color w:val="8A6A2F"/>
                <w:sz w:val="17"/>
                <w:szCs w:val="17"/>
                <w:shd w:val="clear" w:color="auto" w:fill="FAF3E8"/>
              </w:rPr>
              <w:t xml:space="preserve">&lt;&lt;DATE&gt;&gt;</w:t>
            </w:r>
          </w:p>
        </w:tc>
        <w:tc>
          <w:tcPr>
            <w:tcW w:w="2269" w:type="dxa"/>
            <w:tcBorders>
              <w:top w:val="single" w:sz="4" w:space="0" w:color="E2DED6"/>
            </w:tcBorders>
            <w:tcMar>
              <w:top w:w="200" w:type="dxa"/>
              <w:left w:w="0" w:type="dxa"/>
              <w:bottom w:w="200" w:type="dxa"/>
              <w:right w:w="180" w:type="dxa"/>
            </w:tcMar>
          </w:tcPr>
          <w:p>
            <w:pPr>
              <w:spacing w:before="0" w:after="0" w:line="330" w:lineRule="auto"/>
            </w:pPr>
            <w:r>
              <w:rPr>
                <w:rFonts w:ascii="Consolas" w:hAnsi="Consolas" w:cs="Consolas"/>
                <w:caps/>
                <w:spacing w:val="12"/>
                <w:color w:val="12352A"/>
                <w:sz w:val="14"/>
                <w:szCs w:val="14"/>
              </w:rPr>
              <w:t xml:space="preserve">Governing state / territory</w:t>
            </w:r>
          </w:p>
        </w:tc>
        <w:tc>
          <w:tcPr>
            <w:tcW w:w="2664" w:type="dxa"/>
            <w:tcBorders>
              <w:top w:val="single" w:sz="4" w:space="0" w:color="E2DED6"/>
            </w:tcBorders>
            <w:tcMar>
              <w:top w:w="200" w:type="dxa"/>
              <w:left w:w="0" w:type="dxa"/>
              <w:bottom w:w="200" w:type="dxa"/>
              <w:right w:w="0" w:type="dxa"/>
            </w:tcMar>
          </w:tcPr>
          <w:p>
            <w:pPr>
              <w:spacing w:before="0" w:after="0" w:line="330" w:lineRule="auto"/>
            </w:pPr>
            <w:r>
              <w:rPr>
                <w:rFonts w:ascii="Consolas" w:hAnsi="Consolas" w:cs="Consolas"/>
                <w:color w:val="8A6A2F"/>
                <w:sz w:val="17"/>
                <w:szCs w:val="17"/>
                <w:shd w:val="clear" w:color="auto" w:fill="FAF3E8"/>
              </w:rPr>
              <w:t xml:space="preserve">&lt;&lt;INSERT&gt;&gt;</w:t>
            </w:r>
          </w:p>
        </w:tc>
      </w:tr>
      <w:tr>
        <w:tc>
          <w:tcPr>
            <w:tcW w:w="2269" w:type="dxa"/>
            <w:tcBorders>
              <w:top w:val="single" w:sz="4" w:space="0" w:color="EDEAE3"/>
            </w:tcBorders>
            <w:tcMar>
              <w:top w:w="200" w:type="dxa"/>
              <w:left w:w="0" w:type="dxa"/>
              <w:bottom w:w="200" w:type="dxa"/>
              <w:right w:w="180" w:type="dxa"/>
            </w:tcMar>
          </w:tcPr>
          <w:p>
            <w:pPr>
              <w:spacing w:before="0" w:after="0" w:line="330" w:lineRule="auto"/>
            </w:pPr>
            <w:r>
              <w:rPr>
                <w:rFonts w:ascii="Consolas" w:hAnsi="Consolas" w:cs="Consolas"/>
                <w:caps/>
                <w:spacing w:val="12"/>
                <w:color w:val="12352A"/>
                <w:sz w:val="14"/>
                <w:szCs w:val="14"/>
              </w:rPr>
              <w:t xml:space="preserve">Buyer's agency legal name</w:t>
            </w:r>
          </w:p>
        </w:tc>
        <w:tc>
          <w:tcPr>
            <w:tcW w:w="2664" w:type="dxa"/>
            <w:tcBorders>
              <w:top w:val="single" w:sz="4" w:space="0" w:color="EDEAE3"/>
            </w:tcBorders>
            <w:tcMar>
              <w:top w:w="200" w:type="dxa"/>
              <w:left w:w="0" w:type="dxa"/>
              <w:bottom w:w="200" w:type="dxa"/>
              <w:right w:w="260" w:type="dxa"/>
            </w:tcMar>
          </w:tcPr>
          <w:p>
            <w:pPr>
              <w:spacing w:before="0" w:after="0" w:line="330" w:lineRule="auto"/>
            </w:pPr>
            <w:r>
              <w:rPr>
                <w:rFonts w:ascii="Consolas" w:hAnsi="Consolas" w:cs="Consolas"/>
                <w:color w:val="8A6A2F"/>
                <w:sz w:val="17"/>
                <w:szCs w:val="17"/>
                <w:shd w:val="clear" w:color="auto" w:fill="FAF3E8"/>
              </w:rPr>
              <w:t xml:space="preserve">&lt;&lt;INSERT&gt;&gt;</w:t>
            </w:r>
          </w:p>
        </w:tc>
        <w:tc>
          <w:tcPr>
            <w:tcW w:w="2269" w:type="dxa"/>
            <w:tcBorders>
              <w:top w:val="single" w:sz="4" w:space="0" w:color="EDEAE3"/>
            </w:tcBorders>
            <w:tcMar>
              <w:top w:w="200" w:type="dxa"/>
              <w:left w:w="0" w:type="dxa"/>
              <w:bottom w:w="200" w:type="dxa"/>
              <w:right w:w="180" w:type="dxa"/>
            </w:tcMar>
          </w:tcPr>
          <w:p>
            <w:pPr>
              <w:spacing w:before="0" w:after="0" w:line="330" w:lineRule="auto"/>
            </w:pPr>
            <w:r>
              <w:rPr>
                <w:rFonts w:ascii="Consolas" w:hAnsi="Consolas" w:cs="Consolas"/>
                <w:caps/>
                <w:spacing w:val="12"/>
                <w:color w:val="12352A"/>
                <w:sz w:val="14"/>
                <w:szCs w:val="14"/>
              </w:rPr>
              <w:t xml:space="preserve">Buyer's agency trading name</w:t>
            </w:r>
          </w:p>
        </w:tc>
        <w:tc>
          <w:tcPr>
            <w:tcW w:w="2664" w:type="dxa"/>
            <w:tcBorders>
              <w:top w:val="single" w:sz="4" w:space="0" w:color="EDEAE3"/>
            </w:tcBorders>
            <w:tcMar>
              <w:top w:w="200" w:type="dxa"/>
              <w:left w:w="0" w:type="dxa"/>
              <w:bottom w:w="200" w:type="dxa"/>
              <w:right w:w="0" w:type="dxa"/>
            </w:tcMar>
          </w:tcPr>
          <w:p>
            <w:pPr>
              <w:spacing w:before="0" w:after="0" w:line="330" w:lineRule="auto"/>
            </w:pPr>
            <w:r>
              <w:rPr>
                <w:rFonts w:ascii="Consolas" w:hAnsi="Consolas" w:cs="Consolas"/>
                <w:color w:val="8A6A2F"/>
                <w:sz w:val="17"/>
                <w:szCs w:val="17"/>
                <w:shd w:val="clear" w:color="auto" w:fill="FAF3E8"/>
              </w:rPr>
              <w:t xml:space="preserve">&lt;&lt;INSERT&gt;&gt;</w:t>
            </w:r>
          </w:p>
        </w:tc>
      </w:tr>
      <w:tr>
        <w:tc>
          <w:tcPr>
            <w:tcW w:w="2269" w:type="dxa"/>
            <w:tcBorders>
              <w:top w:val="single" w:sz="4" w:space="0" w:color="EDEAE3"/>
            </w:tcBorders>
            <w:tcMar>
              <w:top w:w="200" w:type="dxa"/>
              <w:left w:w="0" w:type="dxa"/>
              <w:bottom w:w="200" w:type="dxa"/>
              <w:right w:w="180" w:type="dxa"/>
            </w:tcMar>
          </w:tcPr>
          <w:p>
            <w:pPr>
              <w:spacing w:before="0" w:after="0" w:line="330" w:lineRule="auto"/>
            </w:pPr>
            <w:r>
              <w:rPr>
                <w:rFonts w:ascii="Consolas" w:hAnsi="Consolas" w:cs="Consolas"/>
                <w:caps/>
                <w:spacing w:val="12"/>
                <w:color w:val="12352A"/>
                <w:sz w:val="14"/>
                <w:szCs w:val="14"/>
              </w:rPr>
              <w:t xml:space="preserve">ABN / ACN</w:t>
            </w:r>
          </w:p>
        </w:tc>
        <w:tc>
          <w:tcPr>
            <w:tcW w:w="2664" w:type="dxa"/>
            <w:tcBorders>
              <w:top w:val="single" w:sz="4" w:space="0" w:color="EDEAE3"/>
            </w:tcBorders>
            <w:tcMar>
              <w:top w:w="200" w:type="dxa"/>
              <w:left w:w="0" w:type="dxa"/>
              <w:bottom w:w="200" w:type="dxa"/>
              <w:right w:w="260" w:type="dxa"/>
            </w:tcMar>
          </w:tcPr>
          <w:p>
            <w:pPr>
              <w:spacing w:before="0" w:after="0" w:line="330" w:lineRule="auto"/>
            </w:pPr>
            <w:r>
              <w:rPr>
                <w:rFonts w:ascii="Consolas" w:hAnsi="Consolas" w:cs="Consolas"/>
                <w:color w:val="8A6A2F"/>
                <w:sz w:val="17"/>
                <w:szCs w:val="17"/>
                <w:shd w:val="clear" w:color="auto" w:fill="FAF3E8"/>
              </w:rPr>
              <w:t xml:space="preserve">&lt;&lt;INSERT&gt;&gt;</w:t>
            </w:r>
          </w:p>
        </w:tc>
        <w:tc>
          <w:tcPr>
            <w:tcW w:w="2269" w:type="dxa"/>
            <w:tcBorders>
              <w:top w:val="single" w:sz="4" w:space="0" w:color="EDEAE3"/>
            </w:tcBorders>
            <w:tcMar>
              <w:top w:w="200" w:type="dxa"/>
              <w:left w:w="0" w:type="dxa"/>
              <w:bottom w:w="200" w:type="dxa"/>
              <w:right w:w="180" w:type="dxa"/>
            </w:tcMar>
          </w:tcPr>
          <w:p>
            <w:pPr>
              <w:spacing w:before="0" w:after="0" w:line="330" w:lineRule="auto"/>
            </w:pPr>
            <w:r>
              <w:rPr>
                <w:rFonts w:ascii="Consolas" w:hAnsi="Consolas" w:cs="Consolas"/>
                <w:caps/>
                <w:spacing w:val="12"/>
                <w:color w:val="12352A"/>
                <w:sz w:val="14"/>
                <w:szCs w:val="14"/>
              </w:rPr>
              <w:t xml:space="preserve">Real estate licence details</w:t>
            </w:r>
          </w:p>
        </w:tc>
        <w:tc>
          <w:tcPr>
            <w:tcW w:w="2664" w:type="dxa"/>
            <w:tcBorders>
              <w:top w:val="single" w:sz="4" w:space="0" w:color="EDEAE3"/>
            </w:tcBorders>
            <w:tcMar>
              <w:top w:w="200" w:type="dxa"/>
              <w:left w:w="0" w:type="dxa"/>
              <w:bottom w:w="200" w:type="dxa"/>
              <w:right w:w="0" w:type="dxa"/>
            </w:tcMar>
          </w:tcPr>
          <w:p>
            <w:pPr>
              <w:spacing w:before="0" w:after="0" w:line="330" w:lineRule="auto"/>
            </w:pPr>
            <w:r>
              <w:rPr>
                <w:rFonts w:ascii="Consolas" w:hAnsi="Consolas" w:cs="Consolas"/>
                <w:color w:val="8A6A2F"/>
                <w:sz w:val="17"/>
                <w:szCs w:val="17"/>
                <w:shd w:val="clear" w:color="auto" w:fill="FAF3E8"/>
              </w:rPr>
              <w:t xml:space="preserve">&lt;&lt;INSERT IF APPLICABLE&gt;&gt;</w:t>
            </w:r>
          </w:p>
        </w:tc>
      </w:tr>
      <w:tr>
        <w:tc>
          <w:tcPr>
            <w:tcW w:w="2269" w:type="dxa"/>
            <w:tcBorders>
              <w:top w:val="single" w:sz="4" w:space="0" w:color="EDEAE3"/>
            </w:tcBorders>
            <w:tcMar>
              <w:top w:w="200" w:type="dxa"/>
              <w:left w:w="0" w:type="dxa"/>
              <w:bottom w:w="200" w:type="dxa"/>
              <w:right w:w="180" w:type="dxa"/>
            </w:tcMar>
          </w:tcPr>
          <w:p>
            <w:pPr>
              <w:spacing w:before="0" w:after="0" w:line="330" w:lineRule="auto"/>
            </w:pPr>
            <w:r>
              <w:rPr>
                <w:rFonts w:ascii="Consolas" w:hAnsi="Consolas" w:cs="Consolas"/>
                <w:caps/>
                <w:spacing w:val="12"/>
                <w:color w:val="12352A"/>
                <w:sz w:val="14"/>
                <w:szCs w:val="14"/>
              </w:rPr>
              <w:t xml:space="preserve">Registered address</w:t>
            </w:r>
          </w:p>
        </w:tc>
        <w:tc>
          <w:tcPr>
            <w:tcW w:w="2664" w:type="dxa"/>
            <w:tcBorders>
              <w:top w:val="single" w:sz="4" w:space="0" w:color="EDEAE3"/>
            </w:tcBorders>
            <w:tcMar>
              <w:top w:w="200" w:type="dxa"/>
              <w:left w:w="0" w:type="dxa"/>
              <w:bottom w:w="200" w:type="dxa"/>
              <w:right w:w="260" w:type="dxa"/>
            </w:tcMar>
          </w:tcPr>
          <w:p>
            <w:pPr>
              <w:spacing w:before="0" w:after="0" w:line="330" w:lineRule="auto"/>
            </w:pPr>
            <w:r>
              <w:rPr>
                <w:rFonts w:ascii="Consolas" w:hAnsi="Consolas" w:cs="Consolas"/>
                <w:color w:val="8A6A2F"/>
                <w:sz w:val="17"/>
                <w:szCs w:val="17"/>
                <w:shd w:val="clear" w:color="auto" w:fill="FAF3E8"/>
              </w:rPr>
              <w:t xml:space="preserve">&lt;&lt;INSERT&gt;&gt;</w:t>
            </w:r>
          </w:p>
        </w:tc>
        <w:tc>
          <w:tcPr>
            <w:tcW w:w="2269" w:type="dxa"/>
            <w:tcBorders>
              <w:top w:val="single" w:sz="4" w:space="0" w:color="EDEAE3"/>
            </w:tcBorders>
            <w:tcMar>
              <w:top w:w="200" w:type="dxa"/>
              <w:left w:w="0" w:type="dxa"/>
              <w:bottom w:w="200" w:type="dxa"/>
              <w:right w:w="180" w:type="dxa"/>
            </w:tcMar>
          </w:tcPr>
          <w:p>
            <w:pPr>
              <w:spacing w:before="0" w:after="0" w:line="330" w:lineRule="auto"/>
            </w:pPr>
            <w:r>
              <w:rPr>
                <w:rFonts w:ascii="Consolas" w:hAnsi="Consolas" w:cs="Consolas"/>
                <w:caps/>
                <w:spacing w:val="12"/>
                <w:color w:val="12352A"/>
                <w:sz w:val="14"/>
                <w:szCs w:val="14"/>
              </w:rPr>
              <w:t xml:space="preserve">Primary email</w:t>
            </w:r>
          </w:p>
        </w:tc>
        <w:tc>
          <w:tcPr>
            <w:tcW w:w="2664" w:type="dxa"/>
            <w:tcBorders>
              <w:top w:val="single" w:sz="4" w:space="0" w:color="EDEAE3"/>
            </w:tcBorders>
            <w:tcMar>
              <w:top w:w="200" w:type="dxa"/>
              <w:left w:w="0" w:type="dxa"/>
              <w:bottom w:w="200" w:type="dxa"/>
              <w:right w:w="0" w:type="dxa"/>
            </w:tcMar>
          </w:tcPr>
          <w:p>
            <w:pPr>
              <w:spacing w:before="0" w:after="0" w:line="330" w:lineRule="auto"/>
            </w:pPr>
            <w:r>
              <w:rPr>
                <w:rFonts w:ascii="Consolas" w:hAnsi="Consolas" w:cs="Consolas"/>
                <w:color w:val="8A6A2F"/>
                <w:sz w:val="17"/>
                <w:szCs w:val="17"/>
                <w:shd w:val="clear" w:color="auto" w:fill="FAF3E8"/>
              </w:rPr>
              <w:t xml:space="preserve">&lt;&lt;INSERT&gt;&gt;</w:t>
            </w:r>
          </w:p>
        </w:tc>
      </w:tr>
      <w:tr>
        <w:tc>
          <w:tcPr>
            <w:tcW w:w="2269" w:type="dxa"/>
            <w:tcBorders>
              <w:top w:val="single" w:sz="4" w:space="0" w:color="EDEAE3"/>
            </w:tcBorders>
            <w:tcMar>
              <w:top w:w="200" w:type="dxa"/>
              <w:left w:w="0" w:type="dxa"/>
              <w:bottom w:w="200" w:type="dxa"/>
              <w:right w:w="180" w:type="dxa"/>
            </w:tcMar>
          </w:tcPr>
          <w:p>
            <w:pPr>
              <w:spacing w:before="0" w:after="0" w:line="330" w:lineRule="auto"/>
            </w:pPr>
            <w:r>
              <w:rPr>
                <w:rFonts w:ascii="Consolas" w:hAnsi="Consolas" w:cs="Consolas"/>
                <w:caps/>
                <w:spacing w:val="12"/>
                <w:color w:val="12352A"/>
                <w:sz w:val="14"/>
                <w:szCs w:val="14"/>
              </w:rPr>
              <w:t xml:space="preserve">Finance partner legal name</w:t>
            </w:r>
          </w:p>
        </w:tc>
        <w:tc>
          <w:tcPr>
            <w:tcW w:w="2664" w:type="dxa"/>
            <w:tcBorders>
              <w:top w:val="single" w:sz="4" w:space="0" w:color="EDEAE3"/>
            </w:tcBorders>
            <w:tcMar>
              <w:top w:w="200" w:type="dxa"/>
              <w:left w:w="0" w:type="dxa"/>
              <w:bottom w:w="200" w:type="dxa"/>
              <w:right w:w="260" w:type="dxa"/>
            </w:tcMar>
          </w:tcPr>
          <w:p>
            <w:pPr>
              <w:spacing w:before="0" w:after="0" w:line="330" w:lineRule="auto"/>
            </w:pPr>
            <w:r>
              <w:rPr>
                <w:rFonts w:ascii="Consolas" w:hAnsi="Consolas" w:cs="Consolas"/>
                <w:color w:val="8A6A2F"/>
                <w:sz w:val="17"/>
                <w:szCs w:val="17"/>
                <w:shd w:val="clear" w:color="auto" w:fill="FAF3E8"/>
              </w:rPr>
              <w:t xml:space="preserve">&lt;&lt;INSERT&gt;&gt;</w:t>
            </w:r>
          </w:p>
        </w:tc>
        <w:tc>
          <w:tcPr>
            <w:tcW w:w="2269" w:type="dxa"/>
            <w:tcBorders>
              <w:top w:val="single" w:sz="4" w:space="0" w:color="EDEAE3"/>
            </w:tcBorders>
            <w:tcMar>
              <w:top w:w="200" w:type="dxa"/>
              <w:left w:w="0" w:type="dxa"/>
              <w:bottom w:w="200" w:type="dxa"/>
              <w:right w:w="180" w:type="dxa"/>
            </w:tcMar>
          </w:tcPr>
          <w:p>
            <w:pPr>
              <w:spacing w:before="0" w:after="0" w:line="330" w:lineRule="auto"/>
            </w:pPr>
            <w:r>
              <w:rPr>
                <w:rFonts w:ascii="Consolas" w:hAnsi="Consolas" w:cs="Consolas"/>
                <w:caps/>
                <w:spacing w:val="12"/>
                <w:color w:val="12352A"/>
                <w:sz w:val="14"/>
                <w:szCs w:val="14"/>
              </w:rPr>
              <w:t xml:space="preserve">Finance partner trading name</w:t>
            </w:r>
          </w:p>
        </w:tc>
        <w:tc>
          <w:tcPr>
            <w:tcW w:w="2664" w:type="dxa"/>
            <w:tcBorders>
              <w:top w:val="single" w:sz="4" w:space="0" w:color="EDEAE3"/>
            </w:tcBorders>
            <w:tcMar>
              <w:top w:w="200" w:type="dxa"/>
              <w:left w:w="0" w:type="dxa"/>
              <w:bottom w:w="200" w:type="dxa"/>
              <w:right w:w="0" w:type="dxa"/>
            </w:tcMar>
          </w:tcPr>
          <w:p>
            <w:pPr>
              <w:spacing w:before="0" w:after="0" w:line="330" w:lineRule="auto"/>
            </w:pPr>
            <w:r>
              <w:rPr>
                <w:rFonts w:ascii="Consolas" w:hAnsi="Consolas" w:cs="Consolas"/>
                <w:color w:val="8A6A2F"/>
                <w:sz w:val="17"/>
                <w:szCs w:val="17"/>
                <w:shd w:val="clear" w:color="auto" w:fill="FAF3E8"/>
              </w:rPr>
              <w:t xml:space="preserve">&lt;&lt;INSERT&gt;&gt;</w:t>
            </w:r>
          </w:p>
        </w:tc>
      </w:tr>
      <w:tr>
        <w:tc>
          <w:tcPr>
            <w:tcW w:w="2269" w:type="dxa"/>
            <w:tcBorders>
              <w:top w:val="single" w:sz="4" w:space="0" w:color="EDEAE3"/>
            </w:tcBorders>
            <w:tcMar>
              <w:top w:w="200" w:type="dxa"/>
              <w:left w:w="0" w:type="dxa"/>
              <w:bottom w:w="200" w:type="dxa"/>
              <w:right w:w="180" w:type="dxa"/>
            </w:tcMar>
          </w:tcPr>
          <w:p>
            <w:pPr>
              <w:spacing w:before="0" w:after="0" w:line="330" w:lineRule="auto"/>
            </w:pPr>
            <w:r>
              <w:rPr>
                <w:rFonts w:ascii="Consolas" w:hAnsi="Consolas" w:cs="Consolas"/>
                <w:caps/>
                <w:spacing w:val="12"/>
                <w:color w:val="12352A"/>
                <w:sz w:val="14"/>
                <w:szCs w:val="14"/>
              </w:rPr>
              <w:t xml:space="preserve">ABN / ACN</w:t>
            </w:r>
          </w:p>
        </w:tc>
        <w:tc>
          <w:tcPr>
            <w:tcW w:w="2664" w:type="dxa"/>
            <w:tcBorders>
              <w:top w:val="single" w:sz="4" w:space="0" w:color="EDEAE3"/>
            </w:tcBorders>
            <w:tcMar>
              <w:top w:w="200" w:type="dxa"/>
              <w:left w:w="0" w:type="dxa"/>
              <w:bottom w:w="200" w:type="dxa"/>
              <w:right w:w="260" w:type="dxa"/>
            </w:tcMar>
          </w:tcPr>
          <w:p>
            <w:pPr>
              <w:spacing w:before="0" w:after="0" w:line="330" w:lineRule="auto"/>
            </w:pPr>
            <w:r>
              <w:rPr>
                <w:rFonts w:ascii="Consolas" w:hAnsi="Consolas" w:cs="Consolas"/>
                <w:color w:val="8A6A2F"/>
                <w:sz w:val="17"/>
                <w:szCs w:val="17"/>
                <w:shd w:val="clear" w:color="auto" w:fill="FAF3E8"/>
              </w:rPr>
              <w:t xml:space="preserve">&lt;&lt;INSERT&gt;&gt;</w:t>
            </w:r>
          </w:p>
        </w:tc>
        <w:tc>
          <w:tcPr>
            <w:tcW w:w="2269" w:type="dxa"/>
            <w:tcBorders>
              <w:top w:val="single" w:sz="4" w:space="0" w:color="EDEAE3"/>
            </w:tcBorders>
            <w:tcMar>
              <w:top w:w="200" w:type="dxa"/>
              <w:left w:w="0" w:type="dxa"/>
              <w:bottom w:w="200" w:type="dxa"/>
              <w:right w:w="180" w:type="dxa"/>
            </w:tcMar>
          </w:tcPr>
          <w:p>
            <w:pPr>
              <w:spacing w:before="0" w:after="0" w:line="330" w:lineRule="auto"/>
            </w:pPr>
            <w:r>
              <w:rPr>
                <w:rFonts w:ascii="Consolas" w:hAnsi="Consolas" w:cs="Consolas"/>
                <w:caps/>
                <w:spacing w:val="12"/>
                <w:color w:val="12352A"/>
                <w:sz w:val="14"/>
                <w:szCs w:val="14"/>
              </w:rPr>
              <w:t xml:space="preserve">ACL / credit representative number</w:t>
            </w:r>
          </w:p>
        </w:tc>
        <w:tc>
          <w:tcPr>
            <w:tcW w:w="2664" w:type="dxa"/>
            <w:tcBorders>
              <w:top w:val="single" w:sz="4" w:space="0" w:color="EDEAE3"/>
            </w:tcBorders>
            <w:tcMar>
              <w:top w:w="200" w:type="dxa"/>
              <w:left w:w="0" w:type="dxa"/>
              <w:bottom w:w="200" w:type="dxa"/>
              <w:right w:w="0" w:type="dxa"/>
            </w:tcMar>
          </w:tcPr>
          <w:p>
            <w:pPr>
              <w:spacing w:before="0" w:after="0" w:line="330" w:lineRule="auto"/>
            </w:pPr>
            <w:r>
              <w:rPr>
                <w:rFonts w:ascii="Consolas" w:hAnsi="Consolas" w:cs="Consolas"/>
                <w:color w:val="8A6A2F"/>
                <w:sz w:val="17"/>
                <w:szCs w:val="17"/>
                <w:shd w:val="clear" w:color="auto" w:fill="FAF3E8"/>
              </w:rPr>
              <w:t xml:space="preserve">&lt;&lt;INSERT&gt;&gt;</w:t>
            </w:r>
          </w:p>
        </w:tc>
      </w:tr>
      <w:tr>
        <w:tc>
          <w:tcPr>
            <w:tcW w:w="2269" w:type="dxa"/>
            <w:tcBorders>
              <w:top w:val="single" w:sz="4" w:space="0" w:color="EDEAE3"/>
              <w:bottom w:val="single" w:sz="4" w:space="0" w:color="E2DED6"/>
            </w:tcBorders>
            <w:tcMar>
              <w:top w:w="200" w:type="dxa"/>
              <w:left w:w="0" w:type="dxa"/>
              <w:bottom w:w="200" w:type="dxa"/>
              <w:right w:w="180" w:type="dxa"/>
            </w:tcMar>
          </w:tcPr>
          <w:p>
            <w:pPr>
              <w:spacing w:before="0" w:after="0" w:line="330" w:lineRule="auto"/>
            </w:pPr>
            <w:r>
              <w:rPr>
                <w:rFonts w:ascii="Consolas" w:hAnsi="Consolas" w:cs="Consolas"/>
                <w:caps/>
                <w:spacing w:val="12"/>
                <w:color w:val="12352A"/>
                <w:sz w:val="14"/>
                <w:szCs w:val="14"/>
              </w:rPr>
              <w:t xml:space="preserve">Registered address</w:t>
            </w:r>
          </w:p>
        </w:tc>
        <w:tc>
          <w:tcPr>
            <w:tcW w:w="2664" w:type="dxa"/>
            <w:tcBorders>
              <w:top w:val="single" w:sz="4" w:space="0" w:color="EDEAE3"/>
              <w:bottom w:val="single" w:sz="4" w:space="0" w:color="E2DED6"/>
            </w:tcBorders>
            <w:tcMar>
              <w:top w:w="200" w:type="dxa"/>
              <w:left w:w="0" w:type="dxa"/>
              <w:bottom w:w="200" w:type="dxa"/>
              <w:right w:w="260" w:type="dxa"/>
            </w:tcMar>
          </w:tcPr>
          <w:p>
            <w:pPr>
              <w:spacing w:before="0" w:after="0" w:line="330" w:lineRule="auto"/>
            </w:pPr>
            <w:r>
              <w:rPr>
                <w:rFonts w:ascii="Consolas" w:hAnsi="Consolas" w:cs="Consolas"/>
                <w:color w:val="8A6A2F"/>
                <w:sz w:val="17"/>
                <w:szCs w:val="17"/>
                <w:shd w:val="clear" w:color="auto" w:fill="FAF3E8"/>
              </w:rPr>
              <w:t xml:space="preserve">&lt;&lt;INSERT&gt;&gt;</w:t>
            </w:r>
          </w:p>
        </w:tc>
        <w:tc>
          <w:tcPr>
            <w:tcW w:w="2269" w:type="dxa"/>
            <w:tcBorders>
              <w:top w:val="single" w:sz="4" w:space="0" w:color="EDEAE3"/>
              <w:bottom w:val="single" w:sz="4" w:space="0" w:color="E2DED6"/>
            </w:tcBorders>
            <w:tcMar>
              <w:top w:w="200" w:type="dxa"/>
              <w:left w:w="0" w:type="dxa"/>
              <w:bottom w:w="200" w:type="dxa"/>
              <w:right w:w="180" w:type="dxa"/>
            </w:tcMar>
          </w:tcPr>
          <w:p>
            <w:pPr>
              <w:spacing w:before="0" w:after="0" w:line="330" w:lineRule="auto"/>
            </w:pPr>
            <w:r>
              <w:rPr>
                <w:rFonts w:ascii="Consolas" w:hAnsi="Consolas" w:cs="Consolas"/>
                <w:caps/>
                <w:spacing w:val="12"/>
                <w:color w:val="12352A"/>
                <w:sz w:val="14"/>
                <w:szCs w:val="14"/>
              </w:rPr>
              <w:t xml:space="preserve">Primary email</w:t>
            </w:r>
          </w:p>
        </w:tc>
        <w:tc>
          <w:tcPr>
            <w:tcW w:w="2664" w:type="dxa"/>
            <w:tcBorders>
              <w:top w:val="single" w:sz="4" w:space="0" w:color="EDEAE3"/>
              <w:bottom w:val="single" w:sz="4" w:space="0" w:color="E2DED6"/>
            </w:tcBorders>
            <w:tcMar>
              <w:top w:w="200" w:type="dxa"/>
              <w:left w:w="0" w:type="dxa"/>
              <w:bottom w:w="200" w:type="dxa"/>
              <w:right w:w="0" w:type="dxa"/>
            </w:tcMar>
          </w:tcPr>
          <w:p>
            <w:pPr>
              <w:spacing w:before="0" w:after="0" w:line="330" w:lineRule="auto"/>
            </w:pPr>
            <w:r>
              <w:rPr>
                <w:rFonts w:ascii="Consolas" w:hAnsi="Consolas" w:cs="Consolas"/>
                <w:color w:val="8A6A2F"/>
                <w:sz w:val="17"/>
                <w:szCs w:val="17"/>
                <w:shd w:val="clear" w:color="auto" w:fill="FAF3E8"/>
              </w:rPr>
              <w:t xml:space="preserve">&lt;&lt;INSERT&gt;&gt;</w:t>
            </w:r>
          </w:p>
        </w:tc>
      </w:tr>
    </w:tbl>
    <w:p>
      <w:pPr>
        <w:spacing w:before="0" w:after="120" w:line="330" w:lineRule="auto"/>
      </w:pPr>
    </w:p>
    <w:p>
      <w:pPr>
        <w:pBdr>
          <w:top w:val="single" w:sz="12" w:space="2" w:color="12352A"/>
        </w:pBdr>
        <w:spacing w:before="160" w:after="60" w:line="330" w:lineRule="auto"/>
      </w:pPr>
      <w:r>
        <w:rPr>
          <w:rFonts w:ascii="Consolas" w:hAnsi="Consolas" w:cs="Consolas"/>
          <w:caps/>
          <w:spacing w:val="16"/>
          <w:color w:val="B4633A"/>
          <w:sz w:val="14"/>
          <w:szCs w:val="14"/>
        </w:rPr>
        <w:t xml:space="preserve">Parties</w:t>
      </w:r>
    </w:p>
    <w:p>
      <w:pPr>
        <w:spacing w:before="0" w:after="0" w:line="330" w:lineRule="auto"/>
      </w:pPr>
      <w:r>
        <w:rPr>
          <w:rFonts w:ascii="Calibri" w:hAnsi="Calibri" w:cs="Calibri"/>
          <w:color w:val="3B443F"/>
          <w:sz w:val="19"/>
          <w:szCs w:val="19"/>
        </w:rPr>
        <w:t xml:space="preserve">The buyer's agency is the recipient of property-service referrals. The finance partner is the referring party. Each remains independent and responsible for its own services, staff, licensing, advice and client documentation.</w:t>
      </w:r>
    </w:p>
    <w:p>
      <w:pPr>
        <w:pageBreakBefore/>
        <w:keepNext/>
        <w:spacing w:before="0" w:after="40" w:line="330" w:lineRule="auto"/>
      </w:pPr>
      <w:r>
        <w:rPr>
          <w:rFonts w:ascii="Consolas" w:hAnsi="Consolas" w:cs="Consolas"/>
          <w:spacing w:val="10"/>
          <w:color w:val="B4633A"/>
          <w:sz w:val="18"/>
          <w:szCs w:val="18"/>
        </w:rPr>
        <w:t xml:space="preserve">2</w:t>
      </w:r>
    </w:p>
    <w:p>
      <w:pPr>
        <w:keepNext/>
        <w:spacing w:before="0" w:after="60" w:line="240" w:lineRule="auto"/>
      </w:pPr>
      <w:r>
        <w:rPr>
          <w:rFonts w:ascii="Georgia" w:hAnsi="Georgia" w:cs="Georgia"/>
          <w:color w:val="12352A"/>
          <w:sz w:val="52"/>
          <w:szCs w:val="52"/>
        </w:rPr>
        <w:t xml:space="preserve">Purpose &amp; Scope</w:t>
      </w:r>
    </w:p>
    <w:p>
      <w:pPr>
        <w:keepNext/>
        <w:pBdr>
          <w:bottom w:val="single" w:sz="12" w:space="2" w:color="12352A"/>
        </w:pBdr>
        <w:spacing w:before="0" w:after="220" w:line="330" w:lineRule="auto"/>
      </w:pPr>
      <w:r>
        <w:rPr>
          <w:rFonts w:ascii="Calibri" w:hAnsi="Calibri" w:cs="Calibri"/>
          <w:color w:val="6B7570"/>
          <w:sz w:val="18"/>
          <w:szCs w:val="18"/>
        </w:rPr>
        <w:t xml:space="preserve">Clear service boundaries  ·  Independent services. Coordinated client journey.</w:t>
      </w:r>
    </w:p>
    <w:tbl>
      <w:tblPr>
        <w:tblW w:w="5000" w:type="pc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732"/>
        <w:gridCol w:w="5132"/>
      </w:tblGrid>
      <w:tr>
        <w:tc>
          <w:tcPr>
            <w:tcW w:w="4732" w:type="dxa"/>
            <w:tcMar>
              <w:top w:w="0" w:type="dxa"/>
              <w:left w:w="0" w:type="dxa"/>
              <w:bottom w:w="0" w:type="dxa"/>
              <w:right w:w="420" w:type="dxa"/>
            </w:tcMar>
          </w:tcPr>
          <w:p>
            <w:pPr>
              <w:pBdr>
                <w:bottom w:val="single" w:sz="8" w:space="2" w:color="12352A"/>
              </w:pBdr>
              <w:spacing w:before="0" w:after="100" w:line="330" w:lineRule="auto"/>
            </w:pPr>
            <w:r>
              <w:rPr>
                <w:rFonts w:ascii="Consolas" w:hAnsi="Consolas" w:cs="Consolas"/>
                <w:caps/>
                <w:spacing w:val="14"/>
                <w:color w:val="12352A"/>
                <w:sz w:val="15"/>
                <w:szCs w:val="15"/>
              </w:rPr>
              <w:t xml:space="preserve">Buyer's agency responsibilities</w:t>
            </w:r>
          </w:p>
          <w:p>
            <w:pPr>
              <w:pBdr>
                <w:bottom w:val="single" w:sz="4" w:space="2" w:color="EDEAE3"/>
              </w:pBdr>
              <w:ind w:left="340" w:hanging="340"/>
              <w:spacing w:before="100" w:after="100" w:line="330" w:lineRule="auto"/>
              <w:tabs>
                <w:tab w:val="left" w:pos="340"/>
              </w:tabs>
            </w:pPr>
            <w:r>
              <w:rPr>
                <w:rFonts w:ascii="Calibri" w:hAnsi="Calibri" w:cs="Calibri"/>
                <w:color w:val="B4633A"/>
                <w:sz w:val="19"/>
                <w:szCs w:val="19"/>
              </w:rPr>
              <w:t xml:space="preserve">—</w:t>
            </w:r>
            <w:r>
              <w:rPr>
                <w:rFonts w:ascii="Calibri" w:hAnsi="Calibri" w:cs="Calibri"/>
                <w:color w:val="242B27"/>
                <w:sz w:val="20"/>
                <w:szCs w:val="20"/>
              </w:rPr>
              <w:t xml:space="preserve">	</w:t>
            </w:r>
            <w:r>
              <w:rPr>
                <w:rFonts w:ascii="Calibri" w:hAnsi="Calibri" w:cs="Calibri"/>
                <w:color w:val="3B443F"/>
                <w:sz w:val="19"/>
                <w:szCs w:val="19"/>
              </w:rPr>
              <w:t xml:space="preserve">Provide property strategy, research, property identification and buyer advocacy services under a separate client engagement.</w:t>
            </w:r>
          </w:p>
          <w:p>
            <w:pPr>
              <w:pBdr>
                <w:bottom w:val="single" w:sz="4" w:space="2" w:color="EDEAE3"/>
              </w:pBdr>
              <w:ind w:left="340" w:hanging="340"/>
              <w:spacing w:before="100" w:after="100" w:line="330" w:lineRule="auto"/>
              <w:tabs>
                <w:tab w:val="left" w:pos="340"/>
              </w:tabs>
            </w:pPr>
            <w:r>
              <w:rPr>
                <w:rFonts w:ascii="Calibri" w:hAnsi="Calibri" w:cs="Calibri"/>
                <w:color w:val="B4633A"/>
                <w:sz w:val="19"/>
                <w:szCs w:val="19"/>
              </w:rPr>
              <w:t xml:space="preserve">—</w:t>
            </w:r>
            <w:r>
              <w:rPr>
                <w:rFonts w:ascii="Calibri" w:hAnsi="Calibri" w:cs="Calibri"/>
                <w:color w:val="242B27"/>
                <w:sz w:val="20"/>
                <w:szCs w:val="20"/>
              </w:rPr>
              <w:t xml:space="preserve">	</w:t>
            </w:r>
            <w:r>
              <w:rPr>
                <w:rFonts w:ascii="Calibri" w:hAnsi="Calibri" w:cs="Calibri"/>
                <w:color w:val="3B443F"/>
                <w:sz w:val="19"/>
                <w:szCs w:val="19"/>
              </w:rPr>
              <w:t xml:space="preserve">Undertake appropriate property due diligence, negotiation and acquisition coordination within its licensed scope.</w:t>
            </w:r>
          </w:p>
          <w:p>
            <w:pPr>
              <w:pBdr>
                <w:bottom w:val="single" w:sz="4" w:space="2" w:color="EDEAE3"/>
              </w:pBdr>
              <w:ind w:left="340" w:hanging="340"/>
              <w:spacing w:before="100" w:after="100" w:line="330" w:lineRule="auto"/>
              <w:tabs>
                <w:tab w:val="left" w:pos="340"/>
              </w:tabs>
            </w:pPr>
            <w:r>
              <w:rPr>
                <w:rFonts w:ascii="Calibri" w:hAnsi="Calibri" w:cs="Calibri"/>
                <w:color w:val="B4633A"/>
                <w:sz w:val="19"/>
                <w:szCs w:val="19"/>
              </w:rPr>
              <w:t xml:space="preserve">—</w:t>
            </w:r>
            <w:r>
              <w:rPr>
                <w:rFonts w:ascii="Calibri" w:hAnsi="Calibri" w:cs="Calibri"/>
                <w:color w:val="242B27"/>
                <w:sz w:val="20"/>
                <w:szCs w:val="20"/>
              </w:rPr>
              <w:t xml:space="preserve">	</w:t>
            </w:r>
            <w:r>
              <w:rPr>
                <w:rFonts w:ascii="Calibri" w:hAnsi="Calibri" w:cs="Calibri"/>
                <w:color w:val="3B443F"/>
                <w:sz w:val="19"/>
                <w:szCs w:val="19"/>
              </w:rPr>
              <w:t xml:space="preserve">Explain its own fees, service limitations and conflicts directly to the client.</w:t>
            </w:r>
          </w:p>
          <w:p>
            <w:pPr>
              <w:pBdr>
                <w:bottom w:val="single" w:sz="4" w:space="2" w:color="EDEAE3"/>
              </w:pBdr>
              <w:ind w:left="340" w:hanging="340"/>
              <w:spacing w:before="100" w:after="100" w:line="330" w:lineRule="auto"/>
              <w:tabs>
                <w:tab w:val="left" w:pos="340"/>
              </w:tabs>
            </w:pPr>
            <w:r>
              <w:rPr>
                <w:rFonts w:ascii="Calibri" w:hAnsi="Calibri" w:cs="Calibri"/>
                <w:color w:val="B4633A"/>
                <w:sz w:val="19"/>
                <w:szCs w:val="19"/>
              </w:rPr>
              <w:t xml:space="preserve">—</w:t>
            </w:r>
            <w:r>
              <w:rPr>
                <w:rFonts w:ascii="Calibri" w:hAnsi="Calibri" w:cs="Calibri"/>
                <w:color w:val="242B27"/>
                <w:sz w:val="20"/>
                <w:szCs w:val="20"/>
              </w:rPr>
              <w:t xml:space="preserve">	</w:t>
            </w:r>
            <w:r>
              <w:rPr>
                <w:rFonts w:ascii="Calibri" w:hAnsi="Calibri" w:cs="Calibri"/>
                <w:color w:val="3B443F"/>
                <w:sz w:val="19"/>
                <w:szCs w:val="19"/>
              </w:rPr>
              <w:t xml:space="preserve">Provide only agreed high-level milestone updates to the finance partner, subject to client consent.</w:t>
            </w:r>
          </w:p>
          <w:p>
            <w:pPr>
              <w:ind w:left="340" w:hanging="340"/>
              <w:spacing w:before="100" w:after="100" w:line="330" w:lineRule="auto"/>
              <w:tabs>
                <w:tab w:val="left" w:pos="340"/>
              </w:tabs>
            </w:pPr>
            <w:r>
              <w:rPr>
                <w:rFonts w:ascii="Calibri" w:hAnsi="Calibri" w:cs="Calibri"/>
                <w:color w:val="B4633A"/>
                <w:sz w:val="19"/>
                <w:szCs w:val="19"/>
              </w:rPr>
              <w:t xml:space="preserve">—</w:t>
            </w:r>
            <w:r>
              <w:rPr>
                <w:rFonts w:ascii="Calibri" w:hAnsi="Calibri" w:cs="Calibri"/>
                <w:color w:val="242B27"/>
                <w:sz w:val="20"/>
                <w:szCs w:val="20"/>
              </w:rPr>
              <w:t xml:space="preserve">	</w:t>
            </w:r>
            <w:r>
              <w:rPr>
                <w:rFonts w:ascii="Calibri" w:hAnsi="Calibri" w:cs="Calibri"/>
                <w:color w:val="3B443F"/>
                <w:sz w:val="19"/>
                <w:szCs w:val="19"/>
              </w:rPr>
              <w:t xml:space="preserve">Not provide credit assistance, lender recommendations or financial product advice unless separately licensed and authorised.</w:t>
            </w:r>
          </w:p>
        </w:tc>
        <w:tc>
          <w:tcPr>
            <w:tcW w:w="5132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Bdr>
                <w:bottom w:val="single" w:sz="8" w:space="2" w:color="12352A"/>
              </w:pBdr>
              <w:spacing w:before="0" w:after="100" w:line="330" w:lineRule="auto"/>
            </w:pPr>
            <w:r>
              <w:rPr>
                <w:rFonts w:ascii="Consolas" w:hAnsi="Consolas" w:cs="Consolas"/>
                <w:caps/>
                <w:spacing w:val="14"/>
                <w:color w:val="12352A"/>
                <w:sz w:val="15"/>
                <w:szCs w:val="15"/>
              </w:rPr>
              <w:t xml:space="preserve">Finance partner responsibilities</w:t>
            </w:r>
          </w:p>
          <w:p>
            <w:pPr>
              <w:pBdr>
                <w:bottom w:val="single" w:sz="4" w:space="2" w:color="EDEAE3"/>
              </w:pBdr>
              <w:ind w:left="340" w:hanging="340"/>
              <w:spacing w:before="100" w:after="100" w:line="330" w:lineRule="auto"/>
              <w:tabs>
                <w:tab w:val="left" w:pos="340"/>
              </w:tabs>
            </w:pPr>
            <w:r>
              <w:rPr>
                <w:rFonts w:ascii="Calibri" w:hAnsi="Calibri" w:cs="Calibri"/>
                <w:color w:val="B4633A"/>
                <w:sz w:val="19"/>
                <w:szCs w:val="19"/>
              </w:rPr>
              <w:t xml:space="preserve">—</w:t>
            </w:r>
            <w:r>
              <w:rPr>
                <w:rFonts w:ascii="Calibri" w:hAnsi="Calibri" w:cs="Calibri"/>
                <w:color w:val="242B27"/>
                <w:sz w:val="20"/>
                <w:szCs w:val="20"/>
              </w:rPr>
              <w:t xml:space="preserve">	</w:t>
            </w:r>
            <w:r>
              <w:rPr>
                <w:rFonts w:ascii="Calibri" w:hAnsi="Calibri" w:cs="Calibri"/>
                <w:color w:val="3B443F"/>
                <w:sz w:val="19"/>
                <w:szCs w:val="19"/>
              </w:rPr>
              <w:t xml:space="preserve">Identify clients who may require property acquisition or buyer advocacy support.</w:t>
            </w:r>
          </w:p>
          <w:p>
            <w:pPr>
              <w:pBdr>
                <w:bottom w:val="single" w:sz="4" w:space="2" w:color="EDEAE3"/>
              </w:pBdr>
              <w:ind w:left="340" w:hanging="340"/>
              <w:spacing w:before="100" w:after="100" w:line="330" w:lineRule="auto"/>
              <w:tabs>
                <w:tab w:val="left" w:pos="340"/>
              </w:tabs>
            </w:pPr>
            <w:r>
              <w:rPr>
                <w:rFonts w:ascii="Calibri" w:hAnsi="Calibri" w:cs="Calibri"/>
                <w:color w:val="B4633A"/>
                <w:sz w:val="19"/>
                <w:szCs w:val="19"/>
              </w:rPr>
              <w:t xml:space="preserve">—</w:t>
            </w:r>
            <w:r>
              <w:rPr>
                <w:rFonts w:ascii="Calibri" w:hAnsi="Calibri" w:cs="Calibri"/>
                <w:color w:val="242B27"/>
                <w:sz w:val="20"/>
                <w:szCs w:val="20"/>
              </w:rPr>
              <w:t xml:space="preserve">	</w:t>
            </w:r>
            <w:r>
              <w:rPr>
                <w:rFonts w:ascii="Calibri" w:hAnsi="Calibri" w:cs="Calibri"/>
                <w:color w:val="3B443F"/>
                <w:sz w:val="19"/>
                <w:szCs w:val="19"/>
              </w:rPr>
              <w:t xml:space="preserve">Obtain client consent before sharing personal information or making the introduction.</w:t>
            </w:r>
          </w:p>
          <w:p>
            <w:pPr>
              <w:pBdr>
                <w:bottom w:val="single" w:sz="4" w:space="2" w:color="EDEAE3"/>
              </w:pBdr>
              <w:ind w:left="340" w:hanging="340"/>
              <w:spacing w:before="100" w:after="100" w:line="330" w:lineRule="auto"/>
              <w:tabs>
                <w:tab w:val="left" w:pos="340"/>
              </w:tabs>
            </w:pPr>
            <w:r>
              <w:rPr>
                <w:rFonts w:ascii="Calibri" w:hAnsi="Calibri" w:cs="Calibri"/>
                <w:color w:val="B4633A"/>
                <w:sz w:val="19"/>
                <w:szCs w:val="19"/>
              </w:rPr>
              <w:t xml:space="preserve">—</w:t>
            </w:r>
            <w:r>
              <w:rPr>
                <w:rFonts w:ascii="Calibri" w:hAnsi="Calibri" w:cs="Calibri"/>
                <w:color w:val="242B27"/>
                <w:sz w:val="20"/>
                <w:szCs w:val="20"/>
              </w:rPr>
              <w:t xml:space="preserve">	</w:t>
            </w:r>
            <w:r>
              <w:rPr>
                <w:rFonts w:ascii="Calibri" w:hAnsi="Calibri" w:cs="Calibri"/>
                <w:color w:val="3B443F"/>
                <w:sz w:val="19"/>
                <w:szCs w:val="19"/>
              </w:rPr>
              <w:t xml:space="preserve">Continue to manage all borrowing-capacity, credit, loan application and lender communications.</w:t>
            </w:r>
          </w:p>
          <w:p>
            <w:pPr>
              <w:pBdr>
                <w:bottom w:val="single" w:sz="4" w:space="2" w:color="EDEAE3"/>
              </w:pBdr>
              <w:ind w:left="340" w:hanging="340"/>
              <w:spacing w:before="100" w:after="100" w:line="330" w:lineRule="auto"/>
              <w:tabs>
                <w:tab w:val="left" w:pos="340"/>
              </w:tabs>
            </w:pPr>
            <w:r>
              <w:rPr>
                <w:rFonts w:ascii="Calibri" w:hAnsi="Calibri" w:cs="Calibri"/>
                <w:color w:val="B4633A"/>
                <w:sz w:val="19"/>
                <w:szCs w:val="19"/>
              </w:rPr>
              <w:t xml:space="preserve">—</w:t>
            </w:r>
            <w:r>
              <w:rPr>
                <w:rFonts w:ascii="Calibri" w:hAnsi="Calibri" w:cs="Calibri"/>
                <w:color w:val="242B27"/>
                <w:sz w:val="20"/>
                <w:szCs w:val="20"/>
              </w:rPr>
              <w:t xml:space="preserve">	</w:t>
            </w:r>
            <w:r>
              <w:rPr>
                <w:rFonts w:ascii="Calibri" w:hAnsi="Calibri" w:cs="Calibri"/>
                <w:color w:val="3B443F"/>
                <w:sz w:val="19"/>
                <w:szCs w:val="19"/>
              </w:rPr>
              <w:t xml:space="preserve">Maintain all required ACL, credit representative, aggregator and lender authorisations.</w:t>
            </w:r>
          </w:p>
          <w:p>
            <w:pPr>
              <w:ind w:left="340" w:hanging="340"/>
              <w:spacing w:before="100" w:after="100" w:line="330" w:lineRule="auto"/>
              <w:tabs>
                <w:tab w:val="left" w:pos="340"/>
              </w:tabs>
            </w:pPr>
            <w:r>
              <w:rPr>
                <w:rFonts w:ascii="Calibri" w:hAnsi="Calibri" w:cs="Calibri"/>
                <w:color w:val="B4633A"/>
                <w:sz w:val="19"/>
                <w:szCs w:val="19"/>
              </w:rPr>
              <w:t xml:space="preserve">—</w:t>
            </w:r>
            <w:r>
              <w:rPr>
                <w:rFonts w:ascii="Calibri" w:hAnsi="Calibri" w:cs="Calibri"/>
                <w:color w:val="242B27"/>
                <w:sz w:val="20"/>
                <w:szCs w:val="20"/>
              </w:rPr>
              <w:t xml:space="preserve">	</w:t>
            </w:r>
            <w:r>
              <w:rPr>
                <w:rFonts w:ascii="Calibri" w:hAnsi="Calibri" w:cs="Calibri"/>
                <w:color w:val="3B443F"/>
                <w:sz w:val="19"/>
                <w:szCs w:val="19"/>
              </w:rPr>
              <w:t xml:space="preserve">Avoid representing that the buyer's agency guarantees a property outcome, valuation, loan approval or investment return.</w:t>
            </w:r>
          </w:p>
        </w:tc>
      </w:tr>
    </w:tbl>
    <w:p>
      <w:pPr>
        <w:spacing w:before="0" w:after="140" w:line="330" w:lineRule="auto"/>
      </w:pPr>
    </w:p>
    <w:tbl>
      <w:tblPr>
        <w:tblW w:w="5000" w:type="pc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65"/>
      </w:tblGrid>
      <w:tr>
        <w:tc>
          <w:tcPr>
            <w:tcW w:w="9865" w:type="dxa"/>
            <w:shd w:val="clear" w:color="auto" w:fill="12352A"/>
            <w:tcMar>
              <w:top w:w="260" w:type="dxa"/>
              <w:left w:w="300" w:type="dxa"/>
              <w:bottom w:w="280" w:type="dxa"/>
              <w:right w:w="300" w:type="dxa"/>
            </w:tcMar>
          </w:tcPr>
          <w:p>
            <w:pPr>
              <w:spacing w:before="0" w:after="80" w:line="330" w:lineRule="auto"/>
            </w:pPr>
            <w:r>
              <w:rPr>
                <w:rFonts w:ascii="Consolas" w:hAnsi="Consolas" w:cs="Consolas"/>
                <w:caps/>
                <w:spacing w:val="16"/>
                <w:color w:val="C9B78E"/>
                <w:sz w:val="14"/>
                <w:szCs w:val="14"/>
              </w:rPr>
              <w:t xml:space="preserve">Boundary principle</w:t>
            </w:r>
          </w:p>
          <w:p>
            <w:pPr>
              <w:spacing w:before="0" w:after="0" w:line="330" w:lineRule="auto"/>
            </w:pPr>
            <w:r>
              <w:rPr>
                <w:rFonts w:ascii="Georgia" w:hAnsi="Georgia" w:cs="Georgia"/>
                <w:color w:val="E7EAE6"/>
                <w:sz w:val="28"/>
                <w:szCs w:val="28"/>
              </w:rPr>
              <w:t xml:space="preserve">The referral relationship coordinates handover and milestone visibility. It does not merge professional responsibilities, advice scopes or client contracts.</w:t>
            </w:r>
          </w:p>
        </w:tc>
      </w:tr>
    </w:tbl>
    <w:p>
      <w:pPr>
        <w:pageBreakBefore/>
        <w:keepNext/>
        <w:spacing w:before="0" w:after="40" w:line="330" w:lineRule="auto"/>
      </w:pPr>
      <w:r>
        <w:rPr>
          <w:rFonts w:ascii="Consolas" w:hAnsi="Consolas" w:cs="Consolas"/>
          <w:spacing w:val="10"/>
          <w:color w:val="B4633A"/>
          <w:sz w:val="18"/>
          <w:szCs w:val="18"/>
        </w:rPr>
        <w:t xml:space="preserve">2A</w:t>
      </w:r>
    </w:p>
    <w:p>
      <w:pPr>
        <w:keepNext/>
        <w:spacing w:before="0" w:after="60" w:line="240" w:lineRule="auto"/>
      </w:pPr>
      <w:r>
        <w:rPr>
          <w:rFonts w:ascii="Georgia" w:hAnsi="Georgia" w:cs="Georgia"/>
          <w:color w:val="12352A"/>
          <w:sz w:val="52"/>
          <w:szCs w:val="52"/>
        </w:rPr>
        <w:t xml:space="preserve">Purpose &amp; Services</w:t>
      </w:r>
    </w:p>
    <w:p>
      <w:pPr>
        <w:keepNext/>
        <w:pBdr>
          <w:bottom w:val="single" w:sz="12" w:space="2" w:color="12352A"/>
        </w:pBdr>
        <w:spacing w:before="0" w:after="220" w:line="330" w:lineRule="auto"/>
      </w:pPr>
      <w:r>
        <w:rPr>
          <w:rFonts w:ascii="Calibri" w:hAnsi="Calibri" w:cs="Calibri"/>
          <w:color w:val="6B7570"/>
          <w:sz w:val="18"/>
          <w:szCs w:val="18"/>
        </w:rPr>
        <w:t xml:space="preserve">Operative clauses  ·  Establishment, scope and separate client engagement</w:t>
      </w:r>
    </w:p>
    <w:p>
      <w:pPr>
        <w:keepNext/>
        <w:spacing w:before="240" w:after="60" w:line="330" w:lineRule="auto"/>
      </w:pPr>
      <w:r>
        <w:rPr>
          <w:rFonts w:ascii="Consolas" w:hAnsi="Consolas" w:cs="Consolas"/>
          <w:color w:val="B4633A"/>
          <w:sz w:val="18"/>
          <w:szCs w:val="18"/>
        </w:rPr>
        <w:t xml:space="preserve">1   </w:t>
      </w:r>
      <w:r>
        <w:rPr>
          <w:rFonts w:ascii="Calibri" w:hAnsi="Calibri" w:cs="Calibri"/>
          <w:b/>
          <w:color w:val="12352A"/>
          <w:sz w:val="22"/>
          <w:szCs w:val="22"/>
        </w:rPr>
        <w:t xml:space="preserve">Purpose of Agreement</w:t>
      </w:r>
    </w:p>
    <w:p>
      <w:pPr>
        <w:pBdr>
          <w:top w:val="single" w:sz="4" w:space="2" w:color="EDEAE3"/>
        </w:pBdr>
        <w:ind w:left="880" w:hanging="880"/>
        <w:spacing w:before="80" w:after="80" w:line="330" w:lineRule="auto"/>
        <w:tabs>
          <w:tab w:val="left" w:pos="880"/>
        </w:tabs>
      </w:pPr>
      <w:r>
        <w:rPr>
          <w:rFonts w:ascii="Consolas" w:hAnsi="Consolas" w:cs="Consolas"/>
          <w:color w:val="8A9490"/>
          <w:sz w:val="17"/>
          <w:szCs w:val="17"/>
        </w:rPr>
        <w:t xml:space="preserve">1.1</w:t>
      </w:r>
      <w:r>
        <w:rPr>
          <w:rFonts w:ascii="Calibri" w:hAnsi="Calibri" w:cs="Calibri"/>
          <w:color w:val="242B27"/>
          <w:sz w:val="20"/>
          <w:szCs w:val="20"/>
        </w:rPr>
        <w:t xml:space="preserve">	</w:t>
      </w:r>
      <w:r>
        <w:rPr>
          <w:rFonts w:ascii="Calibri" w:hAnsi="Calibri" w:cs="Calibri"/>
          <w:color w:val="242B27"/>
          <w:sz w:val="20"/>
          <w:szCs w:val="20"/>
        </w:rPr>
        <w:t xml:space="preserve">This Agreement establishes a structured referral relationship under which the Finance Partner may introduce clients to the Buyer's Agency for property consulting and buyer advocacy services.</w:t>
      </w:r>
    </w:p>
    <w:p>
      <w:pPr>
        <w:pBdr>
          <w:top w:val="single" w:sz="4" w:space="2" w:color="EDEAE3"/>
        </w:pBdr>
        <w:ind w:left="880" w:hanging="880"/>
        <w:spacing w:before="80" w:after="80" w:line="330" w:lineRule="auto"/>
        <w:tabs>
          <w:tab w:val="left" w:pos="880"/>
        </w:tabs>
      </w:pPr>
      <w:r>
        <w:rPr>
          <w:rFonts w:ascii="Consolas" w:hAnsi="Consolas" w:cs="Consolas"/>
          <w:color w:val="8A9490"/>
          <w:sz w:val="17"/>
          <w:szCs w:val="17"/>
        </w:rPr>
        <w:t xml:space="preserve">1.2</w:t>
      </w:r>
      <w:r>
        <w:rPr>
          <w:rFonts w:ascii="Calibri" w:hAnsi="Calibri" w:cs="Calibri"/>
          <w:color w:val="242B27"/>
          <w:sz w:val="20"/>
          <w:szCs w:val="20"/>
        </w:rPr>
        <w:t xml:space="preserve">	</w:t>
      </w:r>
      <w:r>
        <w:rPr>
          <w:rFonts w:ascii="Calibri" w:hAnsi="Calibri" w:cs="Calibri"/>
          <w:color w:val="242B27"/>
          <w:sz w:val="20"/>
          <w:szCs w:val="20"/>
        </w:rPr>
        <w:t xml:space="preserve">The objective is to support a coordinated client journey while preserving the client's freedom of choice and the independent professional responsibilities of each party.</w:t>
      </w:r>
    </w:p>
    <w:p>
      <w:pPr>
        <w:pBdr>
          <w:top w:val="single" w:sz="4" w:space="2" w:color="EDEAE3"/>
        </w:pBdr>
        <w:ind w:left="880" w:hanging="880"/>
        <w:spacing w:before="80" w:after="80" w:line="330" w:lineRule="auto"/>
        <w:tabs>
          <w:tab w:val="left" w:pos="880"/>
        </w:tabs>
      </w:pPr>
      <w:r>
        <w:rPr>
          <w:rFonts w:ascii="Consolas" w:hAnsi="Consolas" w:cs="Consolas"/>
          <w:color w:val="8A9490"/>
          <w:sz w:val="17"/>
          <w:szCs w:val="17"/>
        </w:rPr>
        <w:t xml:space="preserve">1.3</w:t>
      </w:r>
      <w:r>
        <w:rPr>
          <w:rFonts w:ascii="Calibri" w:hAnsi="Calibri" w:cs="Calibri"/>
          <w:color w:val="242B27"/>
          <w:sz w:val="20"/>
          <w:szCs w:val="20"/>
        </w:rPr>
        <w:t xml:space="preserve">	</w:t>
      </w:r>
      <w:r>
        <w:rPr>
          <w:rFonts w:ascii="Calibri" w:hAnsi="Calibri" w:cs="Calibri"/>
          <w:color w:val="242B27"/>
          <w:sz w:val="20"/>
          <w:szCs w:val="20"/>
        </w:rPr>
        <w:t xml:space="preserve">Nothing in this Agreement creates a partnership, joint venture, agency, employment, fiduciary relationship or authority for either party to bind the other.</w:t>
      </w:r>
    </w:p>
    <w:p>
      <w:pPr>
        <w:keepNext/>
        <w:spacing w:before="240" w:after="60" w:line="330" w:lineRule="auto"/>
      </w:pPr>
      <w:r>
        <w:rPr>
          <w:rFonts w:ascii="Consolas" w:hAnsi="Consolas" w:cs="Consolas"/>
          <w:color w:val="B4633A"/>
          <w:sz w:val="18"/>
          <w:szCs w:val="18"/>
        </w:rPr>
        <w:t xml:space="preserve">2   </w:t>
      </w:r>
      <w:r>
        <w:rPr>
          <w:rFonts w:ascii="Calibri" w:hAnsi="Calibri" w:cs="Calibri"/>
          <w:b/>
          <w:color w:val="12352A"/>
          <w:sz w:val="22"/>
          <w:szCs w:val="22"/>
        </w:rPr>
        <w:t xml:space="preserve">Services and Client Engagement</w:t>
      </w:r>
    </w:p>
    <w:p>
      <w:pPr>
        <w:pBdr>
          <w:top w:val="single" w:sz="4" w:space="2" w:color="EDEAE3"/>
        </w:pBdr>
        <w:ind w:left="880" w:hanging="880"/>
        <w:spacing w:before="80" w:after="80" w:line="330" w:lineRule="auto"/>
        <w:tabs>
          <w:tab w:val="left" w:pos="880"/>
        </w:tabs>
      </w:pPr>
      <w:r>
        <w:rPr>
          <w:rFonts w:ascii="Consolas" w:hAnsi="Consolas" w:cs="Consolas"/>
          <w:color w:val="8A9490"/>
          <w:sz w:val="17"/>
          <w:szCs w:val="17"/>
        </w:rPr>
        <w:t xml:space="preserve">2.1</w:t>
      </w:r>
      <w:r>
        <w:rPr>
          <w:rFonts w:ascii="Calibri" w:hAnsi="Calibri" w:cs="Calibri"/>
          <w:color w:val="242B27"/>
          <w:sz w:val="20"/>
          <w:szCs w:val="20"/>
        </w:rPr>
        <w:t xml:space="preserve">	</w:t>
      </w:r>
      <w:r>
        <w:rPr>
          <w:rFonts w:ascii="Calibri" w:hAnsi="Calibri" w:cs="Calibri"/>
          <w:color w:val="242B27"/>
          <w:sz w:val="20"/>
          <w:szCs w:val="20"/>
        </w:rPr>
        <w:t xml:space="preserve">The Buyer's Agency may offer property strategy, search, appraisal, due diligence, negotiation and acquisition coordination services, subject to its own client agreement.</w:t>
      </w:r>
    </w:p>
    <w:p>
      <w:pPr>
        <w:pBdr>
          <w:top w:val="single" w:sz="4" w:space="2" w:color="EDEAE3"/>
        </w:pBdr>
        <w:ind w:left="880" w:hanging="880"/>
        <w:spacing w:before="80" w:after="80" w:line="330" w:lineRule="auto"/>
        <w:tabs>
          <w:tab w:val="left" w:pos="880"/>
        </w:tabs>
      </w:pPr>
      <w:r>
        <w:rPr>
          <w:rFonts w:ascii="Consolas" w:hAnsi="Consolas" w:cs="Consolas"/>
          <w:color w:val="8A9490"/>
          <w:sz w:val="17"/>
          <w:szCs w:val="17"/>
        </w:rPr>
        <w:t xml:space="preserve">2.2</w:t>
      </w:r>
      <w:r>
        <w:rPr>
          <w:rFonts w:ascii="Calibri" w:hAnsi="Calibri" w:cs="Calibri"/>
          <w:color w:val="242B27"/>
          <w:sz w:val="20"/>
          <w:szCs w:val="20"/>
        </w:rPr>
        <w:t xml:space="preserve">	</w:t>
      </w:r>
      <w:r>
        <w:rPr>
          <w:rFonts w:ascii="Calibri" w:hAnsi="Calibri" w:cs="Calibri"/>
          <w:color w:val="242B27"/>
          <w:sz w:val="20"/>
          <w:szCs w:val="20"/>
        </w:rPr>
        <w:t xml:space="preserve">The Finance Partner remains solely responsible for credit services, lending advice, credit assistance, loan structuring, application management and lender liaison.</w:t>
      </w:r>
    </w:p>
    <w:p>
      <w:pPr>
        <w:pBdr>
          <w:top w:val="single" w:sz="4" w:space="2" w:color="EDEAE3"/>
        </w:pBdr>
        <w:ind w:left="880" w:hanging="880"/>
        <w:spacing w:before="80" w:after="80" w:line="330" w:lineRule="auto"/>
        <w:tabs>
          <w:tab w:val="left" w:pos="880"/>
        </w:tabs>
      </w:pPr>
      <w:r>
        <w:rPr>
          <w:rFonts w:ascii="Consolas" w:hAnsi="Consolas" w:cs="Consolas"/>
          <w:color w:val="8A9490"/>
          <w:sz w:val="17"/>
          <w:szCs w:val="17"/>
        </w:rPr>
        <w:t xml:space="preserve">2.3</w:t>
      </w:r>
      <w:r>
        <w:rPr>
          <w:rFonts w:ascii="Calibri" w:hAnsi="Calibri" w:cs="Calibri"/>
          <w:color w:val="242B27"/>
          <w:sz w:val="20"/>
          <w:szCs w:val="20"/>
        </w:rPr>
        <w:t xml:space="preserve">	</w:t>
      </w:r>
      <w:r>
        <w:rPr>
          <w:rFonts w:ascii="Calibri" w:hAnsi="Calibri" w:cs="Calibri"/>
          <w:color w:val="242B27"/>
          <w:sz w:val="20"/>
          <w:szCs w:val="20"/>
        </w:rPr>
        <w:t xml:space="preserve">Each party may accept or decline a referral or client engagement in its discretion and must promptly communicate any material inability to proceed.</w:t>
      </w:r>
    </w:p>
    <w:p>
      <w:pPr>
        <w:spacing w:before="0" w:after="140" w:line="330" w:lineRule="auto"/>
      </w:pPr>
    </w:p>
    <w:tbl>
      <w:tblPr>
        <w:tblW w:w="5000" w:type="pc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65"/>
      </w:tblGrid>
      <w:tr>
        <w:tc>
          <w:tcPr>
            <w:tcW w:w="9865" w:type="dxa"/>
            <w:shd w:val="clear" w:color="auto" w:fill="F6F4EF"/>
            <w:tcBorders>
              <w:top w:val="single" w:sz="16" w:space="0" w:color="B4633A"/>
            </w:tcBorders>
            <w:tcMar>
              <w:top w:w="200" w:type="dxa"/>
              <w:left w:w="240" w:type="dxa"/>
              <w:bottom w:w="220" w:type="dxa"/>
              <w:right w:w="240" w:type="dxa"/>
            </w:tcMar>
          </w:tcPr>
          <w:p>
            <w:pPr>
              <w:spacing w:before="0" w:after="60" w:line="330" w:lineRule="auto"/>
            </w:pPr>
            <w:r>
              <w:rPr>
                <w:rFonts w:ascii="Consolas" w:hAnsi="Consolas" w:cs="Consolas"/>
                <w:caps/>
                <w:spacing w:val="16"/>
                <w:color w:val="B4633A"/>
                <w:sz w:val="14"/>
                <w:szCs w:val="14"/>
              </w:rPr>
              <w:t xml:space="preserve">Operational outcome</w:t>
            </w:r>
          </w:p>
          <w:p>
            <w:pPr>
              <w:spacing w:before="0" w:after="0" w:line="330" w:lineRule="auto"/>
            </w:pPr>
            <w:r>
              <w:rPr>
                <w:rFonts w:ascii="Calibri" w:hAnsi="Calibri" w:cs="Calibri"/>
                <w:color w:val="3B443F"/>
                <w:sz w:val="18"/>
                <w:szCs w:val="18"/>
              </w:rPr>
              <w:t xml:space="preserve">Each referral moves into a separate property-services engagement only after the buyer's agency explains its services and the client chooses to proceed.</w:t>
            </w:r>
          </w:p>
        </w:tc>
      </w:tr>
    </w:tbl>
    <w:p>
      <w:pPr>
        <w:spacing w:before="0" w:after="180" w:line="330" w:lineRule="auto"/>
      </w:pPr>
    </w:p>
    <w:p>
      <w:pPr>
        <w:pageBreakBefore/>
        <w:keepNext/>
        <w:spacing w:before="0" w:after="40" w:line="330" w:lineRule="auto"/>
      </w:pPr>
      <w:r>
        <w:rPr>
          <w:rFonts w:ascii="Consolas" w:hAnsi="Consolas" w:cs="Consolas"/>
          <w:spacing w:val="10"/>
          <w:color w:val="B4633A"/>
          <w:sz w:val="18"/>
          <w:szCs w:val="18"/>
        </w:rPr>
        <w:t xml:space="preserve">3</w:t>
      </w:r>
    </w:p>
    <w:p>
      <w:pPr>
        <w:keepNext/>
        <w:spacing w:before="0" w:after="60" w:line="240" w:lineRule="auto"/>
      </w:pPr>
      <w:r>
        <w:rPr>
          <w:rFonts w:ascii="Georgia" w:hAnsi="Georgia" w:cs="Georgia"/>
          <w:color w:val="12352A"/>
          <w:sz w:val="52"/>
          <w:szCs w:val="52"/>
        </w:rPr>
        <w:t xml:space="preserve">Commercial Schedule</w:t>
      </w:r>
    </w:p>
    <w:p>
      <w:pPr>
        <w:keepNext/>
        <w:pBdr>
          <w:bottom w:val="single" w:sz="12" w:space="2" w:color="12352A"/>
        </w:pBdr>
        <w:spacing w:before="0" w:after="220" w:line="330" w:lineRule="auto"/>
      </w:pPr>
      <w:r>
        <w:rPr>
          <w:rFonts w:ascii="Calibri" w:hAnsi="Calibri" w:cs="Calibri"/>
          <w:color w:val="6B7570"/>
          <w:sz w:val="18"/>
          <w:szCs w:val="18"/>
        </w:rPr>
        <w:t xml:space="preserve">Finance partner referral to buyer's agency  ·  Complete every applicable field before execution</w:t>
      </w:r>
    </w:p>
    <w:tbl>
      <w:tblPr>
        <w:tblW w:w="5000" w:type="pc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65"/>
      </w:tblGrid>
      <w:tr>
        <w:tc>
          <w:tcPr>
            <w:tcW w:w="9865" w:type="dxa"/>
            <w:shd w:val="clear" w:color="auto" w:fill="F6F4EF"/>
            <w:tcBorders>
              <w:top w:val="single" w:sz="16" w:space="0" w:color="B4633A"/>
            </w:tcBorders>
            <w:tcMar>
              <w:top w:w="200" w:type="dxa"/>
              <w:left w:w="240" w:type="dxa"/>
              <w:bottom w:w="220" w:type="dxa"/>
              <w:right w:w="240" w:type="dxa"/>
            </w:tcMar>
          </w:tcPr>
          <w:p>
            <w:pPr>
              <w:spacing w:before="0" w:after="60" w:line="330" w:lineRule="auto"/>
            </w:pPr>
            <w:r>
              <w:rPr>
                <w:rFonts w:ascii="Consolas" w:hAnsi="Consolas" w:cs="Consolas"/>
                <w:caps/>
                <w:spacing w:val="16"/>
                <w:color w:val="B4633A"/>
                <w:sz w:val="14"/>
                <w:szCs w:val="14"/>
              </w:rPr>
              <w:t xml:space="preserve">No pre-set commercial terms</w:t>
            </w:r>
          </w:p>
          <w:p>
            <w:pPr>
              <w:spacing w:before="0" w:after="0" w:line="330" w:lineRule="auto"/>
            </w:pPr>
            <w:r>
              <w:rPr>
                <w:rFonts w:ascii="Calibri" w:hAnsi="Calibri" w:cs="Calibri"/>
                <w:color w:val="3B443F"/>
                <w:sz w:val="18"/>
                <w:szCs w:val="18"/>
              </w:rPr>
              <w:t xml:space="preserve">This schedule intentionally contains no fixed fee, percentage or payment timeframe. The parties must complete every applicable field before execution.</w:t>
            </w:r>
          </w:p>
        </w:tc>
      </w:tr>
    </w:tbl>
    <w:p>
      <w:pPr>
        <w:spacing w:before="0" w:after="180" w:line="330" w:lineRule="auto"/>
      </w:pPr>
    </w:p>
    <w:tbl>
      <w:tblPr>
        <w:tblW w:w="5000" w:type="pc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69"/>
        <w:gridCol w:w="2664"/>
        <w:gridCol w:w="2269"/>
        <w:gridCol w:w="2664"/>
      </w:tblGrid>
      <w:tr>
        <w:tc>
          <w:tcPr>
            <w:tcW w:w="2269" w:type="dxa"/>
            <w:tcBorders>
              <w:top w:val="single" w:sz="4" w:space="0" w:color="E2DED6"/>
            </w:tcBorders>
            <w:tcMar>
              <w:top w:w="200" w:type="dxa"/>
              <w:left w:w="0" w:type="dxa"/>
              <w:bottom w:w="200" w:type="dxa"/>
              <w:right w:w="180" w:type="dxa"/>
            </w:tcMar>
          </w:tcPr>
          <w:p>
            <w:pPr>
              <w:spacing w:before="0" w:after="0" w:line="330" w:lineRule="auto"/>
            </w:pPr>
            <w:r>
              <w:rPr>
                <w:rFonts w:ascii="Consolas" w:hAnsi="Consolas" w:cs="Consolas"/>
                <w:caps/>
                <w:spacing w:val="12"/>
                <w:color w:val="12352A"/>
                <w:sz w:val="14"/>
                <w:szCs w:val="14"/>
              </w:rPr>
              <w:t xml:space="preserve">Remuneration model</w:t>
            </w:r>
          </w:p>
        </w:tc>
        <w:tc>
          <w:tcPr>
            <w:tcW w:w="2664" w:type="dxa"/>
            <w:tcBorders>
              <w:top w:val="single" w:sz="4" w:space="0" w:color="E2DED6"/>
            </w:tcBorders>
            <w:tcMar>
              <w:top w:w="200" w:type="dxa"/>
              <w:left w:w="0" w:type="dxa"/>
              <w:bottom w:w="200" w:type="dxa"/>
              <w:right w:w="260" w:type="dxa"/>
            </w:tcMar>
          </w:tcPr>
          <w:p>
            <w:pPr>
              <w:spacing w:before="0" w:after="0" w:line="330" w:lineRule="auto"/>
            </w:pPr>
            <w:r>
              <w:rPr>
                <w:rFonts w:ascii="Calibri" w:hAnsi="Calibri" w:cs="Calibri"/>
                <w:color w:val="242B27"/>
                <w:sz w:val="19"/>
                <w:szCs w:val="19"/>
              </w:rPr>
              <w:t xml:space="preserve">☐  Fixed fee</w:t>
            </w:r>
          </w:p>
          <w:p>
            <w:pPr>
              <w:spacing w:before="0" w:after="0" w:line="330" w:lineRule="auto"/>
            </w:pPr>
            <w:r>
              <w:rPr>
                <w:rFonts w:ascii="Calibri" w:hAnsi="Calibri" w:cs="Calibri"/>
                <w:color w:val="242B27"/>
                <w:sz w:val="19"/>
                <w:szCs w:val="19"/>
              </w:rPr>
              <w:t xml:space="preserve">☐  Percentage of buyer's agency fee</w:t>
            </w:r>
          </w:p>
          <w:p>
            <w:pPr>
              <w:spacing w:before="0" w:after="0" w:line="330" w:lineRule="auto"/>
            </w:pPr>
            <w:r>
              <w:rPr>
                <w:rFonts w:ascii="Calibri" w:hAnsi="Calibri" w:cs="Calibri"/>
                <w:color w:val="242B27"/>
                <w:sz w:val="19"/>
                <w:szCs w:val="19"/>
              </w:rPr>
              <w:t xml:space="preserve">☐  Other:</w:t>
            </w:r>
          </w:p>
        </w:tc>
        <w:tc>
          <w:tcPr>
            <w:tcW w:w="2269" w:type="dxa"/>
            <w:tcBorders>
              <w:top w:val="single" w:sz="4" w:space="0" w:color="E2DED6"/>
            </w:tcBorders>
            <w:tcMar>
              <w:top w:w="200" w:type="dxa"/>
              <w:left w:w="0" w:type="dxa"/>
              <w:bottom w:w="200" w:type="dxa"/>
              <w:right w:w="180" w:type="dxa"/>
            </w:tcMar>
          </w:tcPr>
          <w:p>
            <w:pPr>
              <w:spacing w:before="0" w:after="0" w:line="330" w:lineRule="auto"/>
            </w:pPr>
            <w:r>
              <w:rPr>
                <w:rFonts w:ascii="Consolas" w:hAnsi="Consolas" w:cs="Consolas"/>
                <w:caps/>
                <w:spacing w:val="12"/>
                <w:color w:val="12352A"/>
                <w:sz w:val="14"/>
                <w:szCs w:val="14"/>
              </w:rPr>
              <w:t xml:space="preserve">Agreed amount / percentage</w:t>
            </w:r>
          </w:p>
        </w:tc>
        <w:tc>
          <w:tcPr>
            <w:tcW w:w="2664" w:type="dxa"/>
            <w:tcBorders>
              <w:top w:val="single" w:sz="4" w:space="0" w:color="E2DED6"/>
            </w:tcBorders>
            <w:tcMar>
              <w:top w:w="200" w:type="dxa"/>
              <w:left w:w="0" w:type="dxa"/>
              <w:bottom w:w="200" w:type="dxa"/>
              <w:right w:w="0" w:type="dxa"/>
            </w:tcMar>
          </w:tcPr>
          <w:p>
            <w:pPr>
              <w:spacing w:before="0" w:after="0" w:line="330" w:lineRule="auto"/>
            </w:pPr>
            <w:r>
              <w:rPr>
                <w:rFonts w:ascii="Consolas" w:hAnsi="Consolas" w:cs="Consolas"/>
                <w:color w:val="8A6A2F"/>
                <w:sz w:val="17"/>
                <w:szCs w:val="17"/>
                <w:shd w:val="clear" w:color="auto" w:fill="FAF3E8"/>
              </w:rPr>
              <w:t xml:space="preserve">&lt;&lt;INSERT AMOUNT OR PERCENTAGE&gt;&gt;</w:t>
            </w:r>
          </w:p>
        </w:tc>
      </w:tr>
      <w:tr>
        <w:tc>
          <w:tcPr>
            <w:tcW w:w="2269" w:type="dxa"/>
            <w:tcBorders>
              <w:top w:val="single" w:sz="4" w:space="0" w:color="EDEAE3"/>
            </w:tcBorders>
            <w:tcMar>
              <w:top w:w="200" w:type="dxa"/>
              <w:left w:w="0" w:type="dxa"/>
              <w:bottom w:w="200" w:type="dxa"/>
              <w:right w:w="180" w:type="dxa"/>
            </w:tcMar>
          </w:tcPr>
          <w:p>
            <w:pPr>
              <w:spacing w:before="0" w:after="0" w:line="330" w:lineRule="auto"/>
            </w:pPr>
            <w:r>
              <w:rPr>
                <w:rFonts w:ascii="Consolas" w:hAnsi="Consolas" w:cs="Consolas"/>
                <w:caps/>
                <w:spacing w:val="12"/>
                <w:color w:val="12352A"/>
                <w:sz w:val="14"/>
                <w:szCs w:val="14"/>
              </w:rPr>
              <w:t xml:space="preserve">GST treatment</w:t>
            </w:r>
          </w:p>
        </w:tc>
        <w:tc>
          <w:tcPr>
            <w:tcW w:w="2664" w:type="dxa"/>
            <w:tcBorders>
              <w:top w:val="single" w:sz="4" w:space="0" w:color="EDEAE3"/>
            </w:tcBorders>
            <w:tcMar>
              <w:top w:w="200" w:type="dxa"/>
              <w:left w:w="0" w:type="dxa"/>
              <w:bottom w:w="200" w:type="dxa"/>
              <w:right w:w="260" w:type="dxa"/>
            </w:tcMar>
          </w:tcPr>
          <w:p>
            <w:pPr>
              <w:spacing w:before="0" w:after="0" w:line="330" w:lineRule="auto"/>
            </w:pPr>
            <w:r>
              <w:rPr>
                <w:rFonts w:ascii="Calibri" w:hAnsi="Calibri" w:cs="Calibri"/>
                <w:color w:val="242B27"/>
                <w:sz w:val="19"/>
                <w:szCs w:val="19"/>
              </w:rPr>
              <w:t xml:space="preserve">☐  Plus GST</w:t>
            </w:r>
          </w:p>
          <w:p>
            <w:pPr>
              <w:spacing w:before="0" w:after="0" w:line="330" w:lineRule="auto"/>
            </w:pPr>
            <w:r>
              <w:rPr>
                <w:rFonts w:ascii="Calibri" w:hAnsi="Calibri" w:cs="Calibri"/>
                <w:color w:val="242B27"/>
                <w:sz w:val="19"/>
                <w:szCs w:val="19"/>
              </w:rPr>
              <w:t xml:space="preserve">☐  GST inclusive</w:t>
            </w:r>
          </w:p>
          <w:p>
            <w:pPr>
              <w:spacing w:before="0" w:after="0" w:line="330" w:lineRule="auto"/>
            </w:pPr>
            <w:r>
              <w:rPr>
                <w:rFonts w:ascii="Calibri" w:hAnsi="Calibri" w:cs="Calibri"/>
                <w:color w:val="242B27"/>
                <w:sz w:val="19"/>
                <w:szCs w:val="19"/>
              </w:rPr>
              <w:t xml:space="preserve">☐  Not applicable</w:t>
            </w:r>
          </w:p>
        </w:tc>
        <w:tc>
          <w:tcPr>
            <w:tcW w:w="2269" w:type="dxa"/>
            <w:tcBorders>
              <w:top w:val="single" w:sz="4" w:space="0" w:color="EDEAE3"/>
            </w:tcBorders>
            <w:tcMar>
              <w:top w:w="200" w:type="dxa"/>
              <w:left w:w="0" w:type="dxa"/>
              <w:bottom w:w="200" w:type="dxa"/>
              <w:right w:w="180" w:type="dxa"/>
            </w:tcMar>
          </w:tcPr>
          <w:p>
            <w:pPr>
              <w:spacing w:before="0" w:after="0" w:line="330" w:lineRule="auto"/>
            </w:pPr>
            <w:r>
              <w:rPr>
                <w:rFonts w:ascii="Consolas" w:hAnsi="Consolas" w:cs="Consolas"/>
                <w:caps/>
                <w:spacing w:val="12"/>
                <w:color w:val="12352A"/>
                <w:sz w:val="14"/>
                <w:szCs w:val="14"/>
              </w:rPr>
              <w:t xml:space="preserve">Qualifying event</w:t>
            </w:r>
          </w:p>
        </w:tc>
        <w:tc>
          <w:tcPr>
            <w:tcW w:w="2664" w:type="dxa"/>
            <w:tcBorders>
              <w:top w:val="single" w:sz="4" w:space="0" w:color="EDEAE3"/>
            </w:tcBorders>
            <w:tcMar>
              <w:top w:w="200" w:type="dxa"/>
              <w:left w:w="0" w:type="dxa"/>
              <w:bottom w:w="200" w:type="dxa"/>
              <w:right w:w="0" w:type="dxa"/>
            </w:tcMar>
          </w:tcPr>
          <w:p>
            <w:pPr>
              <w:spacing w:before="0" w:after="0" w:line="330" w:lineRule="auto"/>
            </w:pPr>
            <w:r>
              <w:rPr>
                <w:rFonts w:ascii="Calibri" w:hAnsi="Calibri" w:cs="Calibri"/>
                <w:color w:val="242B27"/>
                <w:sz w:val="19"/>
                <w:szCs w:val="19"/>
              </w:rPr>
              <w:t xml:space="preserve">☐  Engagement signed</w:t>
            </w:r>
          </w:p>
          <w:p>
            <w:pPr>
              <w:spacing w:before="0" w:after="0" w:line="330" w:lineRule="auto"/>
            </w:pPr>
            <w:r>
              <w:rPr>
                <w:rFonts w:ascii="Calibri" w:hAnsi="Calibri" w:cs="Calibri"/>
                <w:color w:val="242B27"/>
                <w:sz w:val="19"/>
                <w:szCs w:val="19"/>
              </w:rPr>
              <w:t xml:space="preserve">☐  Unconditional contract</w:t>
            </w:r>
          </w:p>
          <w:p>
            <w:pPr>
              <w:spacing w:before="0" w:after="0" w:line="330" w:lineRule="auto"/>
            </w:pPr>
            <w:r>
              <w:rPr>
                <w:rFonts w:ascii="Calibri" w:hAnsi="Calibri" w:cs="Calibri"/>
                <w:color w:val="242B27"/>
                <w:sz w:val="19"/>
                <w:szCs w:val="19"/>
              </w:rPr>
              <w:t xml:space="preserve">☐  Settlement</w:t>
            </w:r>
          </w:p>
          <w:p>
            <w:pPr>
              <w:spacing w:before="0" w:after="0" w:line="330" w:lineRule="auto"/>
            </w:pPr>
            <w:r>
              <w:rPr>
                <w:rFonts w:ascii="Calibri" w:hAnsi="Calibri" w:cs="Calibri"/>
                <w:color w:val="242B27"/>
                <w:sz w:val="19"/>
                <w:szCs w:val="19"/>
              </w:rPr>
              <w:t xml:space="preserve">☐  Other:</w:t>
            </w:r>
          </w:p>
        </w:tc>
      </w:tr>
      <w:tr>
        <w:tc>
          <w:tcPr>
            <w:tcW w:w="2269" w:type="dxa"/>
            <w:tcBorders>
              <w:top w:val="single" w:sz="4" w:space="0" w:color="EDEAE3"/>
            </w:tcBorders>
            <w:tcMar>
              <w:top w:w="200" w:type="dxa"/>
              <w:left w:w="0" w:type="dxa"/>
              <w:bottom w:w="200" w:type="dxa"/>
              <w:right w:w="180" w:type="dxa"/>
            </w:tcMar>
          </w:tcPr>
          <w:p>
            <w:pPr>
              <w:spacing w:before="0" w:after="0" w:line="330" w:lineRule="auto"/>
            </w:pPr>
            <w:r>
              <w:rPr>
                <w:rFonts w:ascii="Consolas" w:hAnsi="Consolas" w:cs="Consolas"/>
                <w:caps/>
                <w:spacing w:val="12"/>
                <w:color w:val="12352A"/>
                <w:sz w:val="14"/>
                <w:szCs w:val="14"/>
              </w:rPr>
              <w:t xml:space="preserve">Payment timeframe</w:t>
            </w:r>
          </w:p>
        </w:tc>
        <w:tc>
          <w:tcPr>
            <w:tcW w:w="2664" w:type="dxa"/>
            <w:tcBorders>
              <w:top w:val="single" w:sz="4" w:space="0" w:color="EDEAE3"/>
            </w:tcBorders>
            <w:tcMar>
              <w:top w:w="200" w:type="dxa"/>
              <w:left w:w="0" w:type="dxa"/>
              <w:bottom w:w="200" w:type="dxa"/>
              <w:right w:w="260" w:type="dxa"/>
            </w:tcMar>
          </w:tcPr>
          <w:p>
            <w:pPr>
              <w:spacing w:before="0" w:after="0" w:line="330" w:lineRule="auto"/>
            </w:pPr>
            <w:r>
              <w:rPr>
                <w:rFonts w:ascii="Consolas" w:hAnsi="Consolas" w:cs="Consolas"/>
                <w:color w:val="8A6A2F"/>
                <w:sz w:val="17"/>
                <w:szCs w:val="17"/>
                <w:shd w:val="clear" w:color="auto" w:fill="FAF3E8"/>
              </w:rPr>
              <w:t xml:space="preserve">&lt;&lt;NUMBER&gt;&gt;</w:t>
            </w:r>
            <w:r>
              <w:rPr>
                <w:rFonts w:ascii="Calibri" w:hAnsi="Calibri" w:cs="Calibri"/>
                <w:color w:val="242B27"/>
                <w:sz w:val="19"/>
                <w:szCs w:val="19"/>
              </w:rPr>
              <w:t xml:space="preserve"> business days after the qualifying event and valid invoice</w:t>
            </w:r>
          </w:p>
        </w:tc>
        <w:tc>
          <w:tcPr>
            <w:tcW w:w="2269" w:type="dxa"/>
            <w:tcBorders>
              <w:top w:val="single" w:sz="4" w:space="0" w:color="EDEAE3"/>
            </w:tcBorders>
            <w:tcMar>
              <w:top w:w="200" w:type="dxa"/>
              <w:left w:w="0" w:type="dxa"/>
              <w:bottom w:w="200" w:type="dxa"/>
              <w:right w:w="180" w:type="dxa"/>
            </w:tcMar>
          </w:tcPr>
          <w:p>
            <w:pPr>
              <w:spacing w:before="0" w:after="0" w:line="330" w:lineRule="auto"/>
            </w:pPr>
            <w:r>
              <w:rPr>
                <w:rFonts w:ascii="Consolas" w:hAnsi="Consolas" w:cs="Consolas"/>
                <w:caps/>
                <w:spacing w:val="12"/>
                <w:color w:val="12352A"/>
                <w:sz w:val="14"/>
                <w:szCs w:val="14"/>
              </w:rPr>
              <w:t xml:space="preserve">Invoice process</w:t>
            </w:r>
          </w:p>
        </w:tc>
        <w:tc>
          <w:tcPr>
            <w:tcW w:w="2664" w:type="dxa"/>
            <w:tcBorders>
              <w:top w:val="single" w:sz="4" w:space="0" w:color="EDEAE3"/>
            </w:tcBorders>
            <w:tcMar>
              <w:top w:w="200" w:type="dxa"/>
              <w:left w:w="0" w:type="dxa"/>
              <w:bottom w:w="200" w:type="dxa"/>
              <w:right w:w="0" w:type="dxa"/>
            </w:tcMar>
          </w:tcPr>
          <w:p>
            <w:pPr>
              <w:spacing w:before="0" w:after="0" w:line="330" w:lineRule="auto"/>
            </w:pPr>
            <w:r>
              <w:rPr>
                <w:rFonts w:ascii="Calibri" w:hAnsi="Calibri" w:cs="Calibri"/>
                <w:color w:val="242B27"/>
                <w:sz w:val="19"/>
                <w:szCs w:val="19"/>
              </w:rPr>
              <w:t xml:space="preserve">☐  Tax invoice</w:t>
            </w:r>
          </w:p>
          <w:p>
            <w:pPr>
              <w:spacing w:before="0" w:after="0" w:line="330" w:lineRule="auto"/>
            </w:pPr>
            <w:r>
              <w:rPr>
                <w:rFonts w:ascii="Calibri" w:hAnsi="Calibri" w:cs="Calibri"/>
                <w:color w:val="242B27"/>
                <w:sz w:val="19"/>
                <w:szCs w:val="19"/>
              </w:rPr>
              <w:t xml:space="preserve">☐  RCTI</w:t>
            </w:r>
          </w:p>
          <w:p>
            <w:pPr>
              <w:spacing w:before="0" w:after="0" w:line="330" w:lineRule="auto"/>
            </w:pPr>
            <w:r>
              <w:rPr>
                <w:rFonts w:ascii="Calibri" w:hAnsi="Calibri" w:cs="Calibri"/>
                <w:color w:val="242B27"/>
                <w:sz w:val="19"/>
                <w:szCs w:val="19"/>
              </w:rPr>
              <w:t xml:space="preserve">☐  Other:</w:t>
            </w:r>
          </w:p>
        </w:tc>
      </w:tr>
      <w:tr>
        <w:tc>
          <w:tcPr>
            <w:tcW w:w="2269" w:type="dxa"/>
            <w:tcBorders>
              <w:top w:val="single" w:sz="4" w:space="0" w:color="EDEAE3"/>
            </w:tcBorders>
            <w:tcMar>
              <w:top w:w="200" w:type="dxa"/>
              <w:left w:w="0" w:type="dxa"/>
              <w:bottom w:w="200" w:type="dxa"/>
              <w:right w:w="180" w:type="dxa"/>
            </w:tcMar>
          </w:tcPr>
          <w:p>
            <w:pPr>
              <w:spacing w:before="0" w:after="0" w:line="330" w:lineRule="auto"/>
            </w:pPr>
            <w:r>
              <w:rPr>
                <w:rFonts w:ascii="Consolas" w:hAnsi="Consolas" w:cs="Consolas"/>
                <w:caps/>
                <w:spacing w:val="12"/>
                <w:color w:val="12352A"/>
                <w:sz w:val="14"/>
                <w:szCs w:val="14"/>
              </w:rPr>
              <w:t xml:space="preserve">Excluded matters</w:t>
            </w:r>
          </w:p>
        </w:tc>
        <w:tc>
          <w:tcPr>
            <w:tcW w:w="2664" w:type="dxa"/>
            <w:tcBorders>
              <w:top w:val="single" w:sz="4" w:space="0" w:color="EDEAE3"/>
            </w:tcBorders>
            <w:tcMar>
              <w:top w:w="200" w:type="dxa"/>
              <w:left w:w="0" w:type="dxa"/>
              <w:bottom w:w="200" w:type="dxa"/>
              <w:right w:w="260" w:type="dxa"/>
            </w:tcMar>
          </w:tcPr>
          <w:p>
            <w:pPr>
              <w:spacing w:before="0" w:after="0" w:line="330" w:lineRule="auto"/>
            </w:pPr>
            <w:r>
              <w:rPr>
                <w:rFonts w:ascii="Consolas" w:hAnsi="Consolas" w:cs="Consolas"/>
                <w:color w:val="8A6A2F"/>
                <w:sz w:val="17"/>
                <w:szCs w:val="17"/>
                <w:shd w:val="clear" w:color="auto" w:fill="FAF3E8"/>
              </w:rPr>
              <w:t xml:space="preserve">&lt;&lt;INSERT EXCLUSIONS OR "NONE"&gt;&gt;</w:t>
            </w:r>
          </w:p>
        </w:tc>
        <w:tc>
          <w:tcPr>
            <w:tcW w:w="2269" w:type="dxa"/>
            <w:tcBorders>
              <w:top w:val="single" w:sz="4" w:space="0" w:color="EDEAE3"/>
            </w:tcBorders>
            <w:tcMar>
              <w:top w:w="200" w:type="dxa"/>
              <w:left w:w="0" w:type="dxa"/>
              <w:bottom w:w="200" w:type="dxa"/>
              <w:right w:w="180" w:type="dxa"/>
            </w:tcMar>
          </w:tcPr>
          <w:p>
            <w:pPr>
              <w:spacing w:before="0" w:after="0" w:line="330" w:lineRule="auto"/>
            </w:pPr>
            <w:r>
              <w:rPr>
                <w:rFonts w:ascii="Consolas" w:hAnsi="Consolas" w:cs="Consolas"/>
                <w:caps/>
                <w:spacing w:val="12"/>
                <w:color w:val="12352A"/>
                <w:sz w:val="14"/>
                <w:szCs w:val="14"/>
              </w:rPr>
              <w:t xml:space="preserve">Duplicate referral rule</w:t>
            </w:r>
          </w:p>
        </w:tc>
        <w:tc>
          <w:tcPr>
            <w:tcW w:w="2664" w:type="dxa"/>
            <w:tcBorders>
              <w:top w:val="single" w:sz="4" w:space="0" w:color="EDEAE3"/>
            </w:tcBorders>
            <w:tcMar>
              <w:top w:w="200" w:type="dxa"/>
              <w:left w:w="0" w:type="dxa"/>
              <w:bottom w:w="200" w:type="dxa"/>
              <w:right w:w="0" w:type="dxa"/>
            </w:tcMar>
          </w:tcPr>
          <w:p>
            <w:pPr>
              <w:spacing w:before="0" w:after="0" w:line="330" w:lineRule="auto"/>
            </w:pPr>
            <w:r>
              <w:rPr>
                <w:rFonts w:ascii="Consolas" w:hAnsi="Consolas" w:cs="Consolas"/>
                <w:color w:val="8A6A2F"/>
                <w:sz w:val="17"/>
                <w:szCs w:val="17"/>
                <w:shd w:val="clear" w:color="auto" w:fill="FAF3E8"/>
              </w:rPr>
              <w:t xml:space="preserve">&lt;&lt;INSERT HOW PRIOR OR DUPLICATE CLIENTS ARE TREATED&gt;&gt;</w:t>
            </w:r>
          </w:p>
        </w:tc>
      </w:tr>
      <w:tr>
        <w:tc>
          <w:tcPr>
            <w:tcW w:w="2269" w:type="dxa"/>
            <w:tcBorders>
              <w:top w:val="single" w:sz="4" w:space="0" w:color="EDEAE3"/>
              <w:bottom w:val="single" w:sz="4" w:space="0" w:color="E2DED6"/>
            </w:tcBorders>
            <w:tcMar>
              <w:top w:w="200" w:type="dxa"/>
              <w:left w:w="0" w:type="dxa"/>
              <w:bottom w:w="200" w:type="dxa"/>
              <w:right w:w="180" w:type="dxa"/>
            </w:tcMar>
          </w:tcPr>
          <w:p>
            <w:pPr>
              <w:spacing w:before="0" w:after="0" w:line="330" w:lineRule="auto"/>
            </w:pPr>
            <w:r>
              <w:rPr>
                <w:rFonts w:ascii="Consolas" w:hAnsi="Consolas" w:cs="Consolas"/>
                <w:caps/>
                <w:spacing w:val="12"/>
                <w:color w:val="12352A"/>
                <w:sz w:val="14"/>
                <w:szCs w:val="14"/>
              </w:rPr>
              <w:t xml:space="preserve">Fee cap / minimum</w:t>
            </w:r>
          </w:p>
        </w:tc>
        <w:tc>
          <w:tcPr>
            <w:tcW w:w="2664" w:type="dxa"/>
            <w:tcBorders>
              <w:top w:val="single" w:sz="4" w:space="0" w:color="EDEAE3"/>
              <w:bottom w:val="single" w:sz="4" w:space="0" w:color="E2DED6"/>
            </w:tcBorders>
            <w:tcMar>
              <w:top w:w="200" w:type="dxa"/>
              <w:left w:w="0" w:type="dxa"/>
              <w:bottom w:w="200" w:type="dxa"/>
              <w:right w:w="260" w:type="dxa"/>
            </w:tcMar>
          </w:tcPr>
          <w:p>
            <w:pPr>
              <w:spacing w:before="0" w:after="0" w:line="330" w:lineRule="auto"/>
            </w:pPr>
            <w:r>
              <w:rPr>
                <w:rFonts w:ascii="Consolas" w:hAnsi="Consolas" w:cs="Consolas"/>
                <w:color w:val="8A6A2F"/>
                <w:sz w:val="17"/>
                <w:szCs w:val="17"/>
                <w:shd w:val="clear" w:color="auto" w:fill="FAF3E8"/>
              </w:rPr>
              <w:t xml:space="preserve">&lt;&lt;INSERT OR "NOT APPLICABLE"&gt;&gt;</w:t>
            </w:r>
          </w:p>
        </w:tc>
        <w:tc>
          <w:tcPr>
            <w:tcW w:w="2269" w:type="dxa"/>
            <w:tcBorders>
              <w:top w:val="single" w:sz="4" w:space="0" w:color="EDEAE3"/>
              <w:bottom w:val="single" w:sz="4" w:space="0" w:color="E2DED6"/>
            </w:tcBorders>
            <w:tcMar>
              <w:top w:w="200" w:type="dxa"/>
              <w:left w:w="0" w:type="dxa"/>
              <w:bottom w:w="200" w:type="dxa"/>
              <w:right w:w="180" w:type="dxa"/>
            </w:tcMar>
          </w:tcPr>
          <w:p>
            <w:pPr>
              <w:spacing w:before="0" w:after="0" w:line="330" w:lineRule="auto"/>
            </w:pPr>
            <w:r>
              <w:rPr>
                <w:rFonts w:ascii="Consolas" w:hAnsi="Consolas" w:cs="Consolas"/>
                <w:caps/>
                <w:spacing w:val="12"/>
                <w:color w:val="12352A"/>
                <w:sz w:val="14"/>
                <w:szCs w:val="14"/>
              </w:rPr>
              <w:t xml:space="preserve">Post-termination entitlement</w:t>
            </w:r>
          </w:p>
        </w:tc>
        <w:tc>
          <w:tcPr>
            <w:tcW w:w="2664" w:type="dxa"/>
            <w:tcBorders>
              <w:top w:val="single" w:sz="4" w:space="0" w:color="EDEAE3"/>
              <w:bottom w:val="single" w:sz="4" w:space="0" w:color="E2DED6"/>
            </w:tcBorders>
            <w:tcMar>
              <w:top w:w="200" w:type="dxa"/>
              <w:left w:w="0" w:type="dxa"/>
              <w:bottom w:w="200" w:type="dxa"/>
              <w:right w:w="0" w:type="dxa"/>
            </w:tcMar>
          </w:tcPr>
          <w:p>
            <w:pPr>
              <w:spacing w:before="0" w:after="0" w:line="330" w:lineRule="auto"/>
            </w:pPr>
            <w:r>
              <w:rPr>
                <w:rFonts w:ascii="Consolas" w:hAnsi="Consolas" w:cs="Consolas"/>
                <w:color w:val="8A6A2F"/>
                <w:sz w:val="17"/>
                <w:szCs w:val="17"/>
                <w:shd w:val="clear" w:color="auto" w:fill="FAF3E8"/>
              </w:rPr>
              <w:t xml:space="preserve">&lt;&lt;INSERT AGREED TREATMENT OF PRE-TERMINATION REFERRALS&gt;&gt;</w:t>
            </w:r>
          </w:p>
        </w:tc>
      </w:tr>
    </w:tbl>
    <w:p>
      <w:pPr>
        <w:spacing w:before="0" w:after="140" w:line="330" w:lineRule="auto"/>
      </w:pPr>
    </w:p>
    <w:tbl>
      <w:tblPr>
        <w:tblW w:w="5000" w:type="pc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65"/>
      </w:tblGrid>
      <w:tr>
        <w:tc>
          <w:tcPr>
            <w:tcW w:w="9865" w:type="dxa"/>
            <w:shd w:val="clear" w:color="auto" w:fill="12352A"/>
            <w:tcMar>
              <w:top w:w="260" w:type="dxa"/>
              <w:left w:w="300" w:type="dxa"/>
              <w:bottom w:w="280" w:type="dxa"/>
              <w:right w:w="300" w:type="dxa"/>
            </w:tcMar>
          </w:tcPr>
          <w:p>
            <w:pPr>
              <w:spacing w:before="0" w:after="80" w:line="330" w:lineRule="auto"/>
            </w:pPr>
            <w:r>
              <w:rPr>
                <w:rFonts w:ascii="Consolas" w:hAnsi="Consolas" w:cs="Consolas"/>
                <w:caps/>
                <w:spacing w:val="16"/>
                <w:color w:val="C9B78E"/>
                <w:sz w:val="14"/>
                <w:szCs w:val="14"/>
              </w:rPr>
              <w:t xml:space="preserve">Commercial control</w:t>
            </w:r>
          </w:p>
          <w:p>
            <w:pPr>
              <w:spacing w:before="0" w:after="0" w:line="330" w:lineRule="auto"/>
            </w:pPr>
            <w:r>
              <w:rPr>
                <w:rFonts w:ascii="Calibri" w:hAnsi="Calibri" w:cs="Calibri"/>
                <w:color w:val="E7EAE6"/>
                <w:sz w:val="19"/>
                <w:szCs w:val="19"/>
              </w:rPr>
              <w:t xml:space="preserve">Commercial terms may only be changed by a written variation signed by both parties. No amount is payable unless the agreed qualifying event occurs and all disclosure, consent and invoicing requirements have been satisfied.</w:t>
            </w:r>
          </w:p>
        </w:tc>
      </w:tr>
    </w:tbl>
    <w:p>
      <w:pPr>
        <w:pageBreakBefore/>
        <w:keepNext/>
        <w:spacing w:before="0" w:after="40" w:line="330" w:lineRule="auto"/>
      </w:pPr>
      <w:r>
        <w:rPr>
          <w:rFonts w:ascii="Consolas" w:hAnsi="Consolas" w:cs="Consolas"/>
          <w:spacing w:val="10"/>
          <w:color w:val="B4633A"/>
          <w:sz w:val="18"/>
          <w:szCs w:val="18"/>
        </w:rPr>
        <w:t xml:space="preserve">4-6</w:t>
      </w:r>
    </w:p>
    <w:p>
      <w:pPr>
        <w:keepNext/>
        <w:spacing w:before="0" w:after="60" w:line="240" w:lineRule="auto"/>
      </w:pPr>
      <w:r>
        <w:rPr>
          <w:rFonts w:ascii="Georgia" w:hAnsi="Georgia" w:cs="Georgia"/>
          <w:color w:val="12352A"/>
          <w:sz w:val="52"/>
          <w:szCs w:val="52"/>
        </w:rPr>
        <w:t xml:space="preserve">Client Consent, Privacy &amp; Communications</w:t>
      </w:r>
    </w:p>
    <w:p>
      <w:pPr>
        <w:keepNext/>
        <w:pBdr>
          <w:bottom w:val="single" w:sz="12" w:space="2" w:color="12352A"/>
        </w:pBdr>
        <w:spacing w:before="0" w:after="220" w:line="330" w:lineRule="auto"/>
      </w:pPr>
      <w:r>
        <w:rPr>
          <w:rFonts w:ascii="Calibri" w:hAnsi="Calibri" w:cs="Calibri"/>
          <w:color w:val="6B7570"/>
          <w:sz w:val="18"/>
          <w:szCs w:val="18"/>
        </w:rPr>
        <w:t xml:space="preserve">Client choice and controlled information exchange</w:t>
      </w:r>
    </w:p>
    <w:p>
      <w:pPr>
        <w:keepNext/>
        <w:spacing w:before="240" w:after="60" w:line="330" w:lineRule="auto"/>
      </w:pPr>
      <w:r>
        <w:rPr>
          <w:rFonts w:ascii="Consolas" w:hAnsi="Consolas" w:cs="Consolas"/>
          <w:color w:val="B4633A"/>
          <w:sz w:val="18"/>
          <w:szCs w:val="18"/>
        </w:rPr>
        <w:t xml:space="preserve">4   </w:t>
      </w:r>
      <w:r>
        <w:rPr>
          <w:rFonts w:ascii="Calibri" w:hAnsi="Calibri" w:cs="Calibri"/>
          <w:b/>
          <w:color w:val="12352A"/>
          <w:sz w:val="22"/>
          <w:szCs w:val="22"/>
        </w:rPr>
        <w:t xml:space="preserve">Client Consent and Disclosure</w:t>
      </w:r>
    </w:p>
    <w:p>
      <w:pPr>
        <w:pBdr>
          <w:top w:val="single" w:sz="4" w:space="2" w:color="EDEAE3"/>
        </w:pBdr>
        <w:ind w:left="880" w:hanging="880"/>
        <w:spacing w:before="80" w:after="80" w:line="330" w:lineRule="auto"/>
        <w:tabs>
          <w:tab w:val="left" w:pos="880"/>
        </w:tabs>
      </w:pPr>
      <w:r>
        <w:rPr>
          <w:rFonts w:ascii="Consolas" w:hAnsi="Consolas" w:cs="Consolas"/>
          <w:color w:val="8A9490"/>
          <w:sz w:val="17"/>
          <w:szCs w:val="17"/>
        </w:rPr>
        <w:t xml:space="preserve">4.1</w:t>
      </w:r>
      <w:r>
        <w:rPr>
          <w:rFonts w:ascii="Calibri" w:hAnsi="Calibri" w:cs="Calibri"/>
          <w:color w:val="242B27"/>
          <w:sz w:val="20"/>
          <w:szCs w:val="20"/>
        </w:rPr>
        <w:t xml:space="preserve">	</w:t>
      </w:r>
      <w:r>
        <w:rPr>
          <w:rFonts w:ascii="Calibri" w:hAnsi="Calibri" w:cs="Calibri"/>
          <w:color w:val="242B27"/>
          <w:sz w:val="20"/>
          <w:szCs w:val="20"/>
        </w:rPr>
        <w:t xml:space="preserve">The Finance Partner must obtain the client's consent before disclosing personal information to the Buyer's Agency.</w:t>
      </w:r>
    </w:p>
    <w:p>
      <w:pPr>
        <w:pBdr>
          <w:top w:val="single" w:sz="4" w:space="2" w:color="EDEAE3"/>
        </w:pBdr>
        <w:ind w:left="880" w:hanging="880"/>
        <w:spacing w:before="80" w:after="80" w:line="330" w:lineRule="auto"/>
        <w:tabs>
          <w:tab w:val="left" w:pos="880"/>
        </w:tabs>
      </w:pPr>
      <w:r>
        <w:rPr>
          <w:rFonts w:ascii="Consolas" w:hAnsi="Consolas" w:cs="Consolas"/>
          <w:color w:val="8A9490"/>
          <w:sz w:val="17"/>
          <w:szCs w:val="17"/>
        </w:rPr>
        <w:t xml:space="preserve">4.2</w:t>
      </w:r>
      <w:r>
        <w:rPr>
          <w:rFonts w:ascii="Calibri" w:hAnsi="Calibri" w:cs="Calibri"/>
          <w:color w:val="242B27"/>
          <w:sz w:val="20"/>
          <w:szCs w:val="20"/>
        </w:rPr>
        <w:t xml:space="preserve">	</w:t>
      </w:r>
      <w:r>
        <w:rPr>
          <w:rFonts w:ascii="Calibri" w:hAnsi="Calibri" w:cs="Calibri"/>
          <w:color w:val="242B27"/>
          <w:sz w:val="20"/>
          <w:szCs w:val="20"/>
        </w:rPr>
        <w:t xml:space="preserve">Each party must clearly disclose any referral payment or other material benefit where disclosure is required by law, professional standards, licence conditions, aggregator policy or the party's internal compliance framework.</w:t>
      </w:r>
    </w:p>
    <w:p>
      <w:pPr>
        <w:pBdr>
          <w:top w:val="single" w:sz="4" w:space="2" w:color="EDEAE3"/>
        </w:pBdr>
        <w:ind w:left="880" w:hanging="880"/>
        <w:spacing w:before="80" w:after="80" w:line="330" w:lineRule="auto"/>
        <w:tabs>
          <w:tab w:val="left" w:pos="880"/>
        </w:tabs>
      </w:pPr>
      <w:r>
        <w:rPr>
          <w:rFonts w:ascii="Consolas" w:hAnsi="Consolas" w:cs="Consolas"/>
          <w:color w:val="8A9490"/>
          <w:sz w:val="17"/>
          <w:szCs w:val="17"/>
        </w:rPr>
        <w:t xml:space="preserve">4.3</w:t>
      </w:r>
      <w:r>
        <w:rPr>
          <w:rFonts w:ascii="Calibri" w:hAnsi="Calibri" w:cs="Calibri"/>
          <w:color w:val="242B27"/>
          <w:sz w:val="20"/>
          <w:szCs w:val="20"/>
        </w:rPr>
        <w:t xml:space="preserve">	</w:t>
      </w:r>
      <w:r>
        <w:rPr>
          <w:rFonts w:ascii="Calibri" w:hAnsi="Calibri" w:cs="Calibri"/>
          <w:color w:val="242B27"/>
          <w:sz w:val="20"/>
          <w:szCs w:val="20"/>
        </w:rPr>
        <w:t xml:space="preserve">The client remains free to decline the referral, choose another provider or cease dealing with either party.</w:t>
      </w:r>
    </w:p>
    <w:p>
      <w:pPr>
        <w:keepNext/>
        <w:spacing w:before="240" w:after="60" w:line="330" w:lineRule="auto"/>
      </w:pPr>
      <w:r>
        <w:rPr>
          <w:rFonts w:ascii="Consolas" w:hAnsi="Consolas" w:cs="Consolas"/>
          <w:color w:val="B4633A"/>
          <w:sz w:val="18"/>
          <w:szCs w:val="18"/>
        </w:rPr>
        <w:t xml:space="preserve">5   </w:t>
      </w:r>
      <w:r>
        <w:rPr>
          <w:rFonts w:ascii="Calibri" w:hAnsi="Calibri" w:cs="Calibri"/>
          <w:b/>
          <w:color w:val="12352A"/>
          <w:sz w:val="22"/>
          <w:szCs w:val="22"/>
        </w:rPr>
        <w:t xml:space="preserve">Privacy and Data Security</w:t>
      </w:r>
    </w:p>
    <w:p>
      <w:pPr>
        <w:pBdr>
          <w:top w:val="single" w:sz="4" w:space="2" w:color="EDEAE3"/>
        </w:pBdr>
        <w:ind w:left="880" w:hanging="880"/>
        <w:spacing w:before="80" w:after="80" w:line="330" w:lineRule="auto"/>
        <w:tabs>
          <w:tab w:val="left" w:pos="880"/>
        </w:tabs>
      </w:pPr>
      <w:r>
        <w:rPr>
          <w:rFonts w:ascii="Consolas" w:hAnsi="Consolas" w:cs="Consolas"/>
          <w:color w:val="8A9490"/>
          <w:sz w:val="17"/>
          <w:szCs w:val="17"/>
        </w:rPr>
        <w:t xml:space="preserve">5.1</w:t>
      </w:r>
      <w:r>
        <w:rPr>
          <w:rFonts w:ascii="Calibri" w:hAnsi="Calibri" w:cs="Calibri"/>
          <w:color w:val="242B27"/>
          <w:sz w:val="20"/>
          <w:szCs w:val="20"/>
        </w:rPr>
        <w:t xml:space="preserve">	</w:t>
      </w:r>
      <w:r>
        <w:rPr>
          <w:rFonts w:ascii="Calibri" w:hAnsi="Calibri" w:cs="Calibri"/>
          <w:color w:val="242B27"/>
          <w:sz w:val="20"/>
          <w:szCs w:val="20"/>
        </w:rPr>
        <w:t xml:space="preserve">Each party must handle personal information in accordance with applicable privacy laws, its privacy policy and reasonable security controls.</w:t>
      </w:r>
    </w:p>
    <w:p>
      <w:pPr>
        <w:pBdr>
          <w:top w:val="single" w:sz="4" w:space="2" w:color="EDEAE3"/>
        </w:pBdr>
        <w:ind w:left="880" w:hanging="880"/>
        <w:spacing w:before="80" w:after="80" w:line="330" w:lineRule="auto"/>
        <w:tabs>
          <w:tab w:val="left" w:pos="880"/>
        </w:tabs>
      </w:pPr>
      <w:r>
        <w:rPr>
          <w:rFonts w:ascii="Consolas" w:hAnsi="Consolas" w:cs="Consolas"/>
          <w:color w:val="8A9490"/>
          <w:sz w:val="17"/>
          <w:szCs w:val="17"/>
        </w:rPr>
        <w:t xml:space="preserve">5.2</w:t>
      </w:r>
      <w:r>
        <w:rPr>
          <w:rFonts w:ascii="Calibri" w:hAnsi="Calibri" w:cs="Calibri"/>
          <w:color w:val="242B27"/>
          <w:sz w:val="20"/>
          <w:szCs w:val="20"/>
        </w:rPr>
        <w:t xml:space="preserve">	</w:t>
      </w:r>
      <w:r>
        <w:rPr>
          <w:rFonts w:ascii="Calibri" w:hAnsi="Calibri" w:cs="Calibri"/>
          <w:color w:val="242B27"/>
          <w:sz w:val="20"/>
          <w:szCs w:val="20"/>
        </w:rPr>
        <w:t xml:space="preserve">Personal information may only be used for the referral, service delivery, payment administration, compliance and lawful record-keeping purposes.</w:t>
      </w:r>
    </w:p>
    <w:p>
      <w:pPr>
        <w:pBdr>
          <w:top w:val="single" w:sz="4" w:space="2" w:color="EDEAE3"/>
        </w:pBdr>
        <w:ind w:left="880" w:hanging="880"/>
        <w:spacing w:before="80" w:after="80" w:line="330" w:lineRule="auto"/>
        <w:tabs>
          <w:tab w:val="left" w:pos="880"/>
        </w:tabs>
      </w:pPr>
      <w:r>
        <w:rPr>
          <w:rFonts w:ascii="Consolas" w:hAnsi="Consolas" w:cs="Consolas"/>
          <w:color w:val="8A9490"/>
          <w:sz w:val="17"/>
          <w:szCs w:val="17"/>
        </w:rPr>
        <w:t xml:space="preserve">5.3</w:t>
      </w:r>
      <w:r>
        <w:rPr>
          <w:rFonts w:ascii="Calibri" w:hAnsi="Calibri" w:cs="Calibri"/>
          <w:color w:val="242B27"/>
          <w:sz w:val="20"/>
          <w:szCs w:val="20"/>
        </w:rPr>
        <w:t xml:space="preserve">	</w:t>
      </w:r>
      <w:r>
        <w:rPr>
          <w:rFonts w:ascii="Calibri" w:hAnsi="Calibri" w:cs="Calibri"/>
          <w:color w:val="242B27"/>
          <w:sz w:val="20"/>
          <w:szCs w:val="20"/>
        </w:rPr>
        <w:t xml:space="preserve">A party must promptly notify the other of any suspected privacy incident materially affecting referred clients and cooperate with lawful response obligations.</w:t>
      </w:r>
    </w:p>
    <w:p>
      <w:pPr>
        <w:keepNext/>
        <w:spacing w:before="240" w:after="60" w:line="330" w:lineRule="auto"/>
      </w:pPr>
      <w:r>
        <w:rPr>
          <w:rFonts w:ascii="Consolas" w:hAnsi="Consolas" w:cs="Consolas"/>
          <w:color w:val="B4633A"/>
          <w:sz w:val="18"/>
          <w:szCs w:val="18"/>
        </w:rPr>
        <w:t xml:space="preserve">6   </w:t>
      </w:r>
      <w:r>
        <w:rPr>
          <w:rFonts w:ascii="Calibri" w:hAnsi="Calibri" w:cs="Calibri"/>
          <w:b/>
          <w:color w:val="12352A"/>
          <w:sz w:val="22"/>
          <w:szCs w:val="22"/>
        </w:rPr>
        <w:t xml:space="preserve">Client Communications</w:t>
      </w:r>
    </w:p>
    <w:p>
      <w:pPr>
        <w:pBdr>
          <w:top w:val="single" w:sz="4" w:space="2" w:color="EDEAE3"/>
        </w:pBdr>
        <w:ind w:left="880" w:hanging="880"/>
        <w:spacing w:before="80" w:after="80" w:line="330" w:lineRule="auto"/>
        <w:tabs>
          <w:tab w:val="left" w:pos="880"/>
        </w:tabs>
      </w:pPr>
      <w:r>
        <w:rPr>
          <w:rFonts w:ascii="Consolas" w:hAnsi="Consolas" w:cs="Consolas"/>
          <w:color w:val="8A9490"/>
          <w:sz w:val="17"/>
          <w:szCs w:val="17"/>
        </w:rPr>
        <w:t xml:space="preserve">6.1</w:t>
      </w:r>
      <w:r>
        <w:rPr>
          <w:rFonts w:ascii="Calibri" w:hAnsi="Calibri" w:cs="Calibri"/>
          <w:color w:val="242B27"/>
          <w:sz w:val="20"/>
          <w:szCs w:val="20"/>
        </w:rPr>
        <w:t xml:space="preserve">	</w:t>
      </w:r>
      <w:r>
        <w:rPr>
          <w:rFonts w:ascii="Calibri" w:hAnsi="Calibri" w:cs="Calibri"/>
          <w:color w:val="242B27"/>
          <w:sz w:val="20"/>
          <w:szCs w:val="20"/>
        </w:rPr>
        <w:t xml:space="preserve">Neither party may communicate on behalf of the other without written authority.</w:t>
      </w:r>
    </w:p>
    <w:p>
      <w:pPr>
        <w:pBdr>
          <w:top w:val="single" w:sz="4" w:space="2" w:color="EDEAE3"/>
        </w:pBdr>
        <w:ind w:left="880" w:hanging="880"/>
        <w:spacing w:before="80" w:after="80" w:line="330" w:lineRule="auto"/>
        <w:tabs>
          <w:tab w:val="left" w:pos="880"/>
        </w:tabs>
      </w:pPr>
      <w:r>
        <w:rPr>
          <w:rFonts w:ascii="Consolas" w:hAnsi="Consolas" w:cs="Consolas"/>
          <w:color w:val="8A9490"/>
          <w:sz w:val="17"/>
          <w:szCs w:val="17"/>
        </w:rPr>
        <w:t xml:space="preserve">6.2</w:t>
      </w:r>
      <w:r>
        <w:rPr>
          <w:rFonts w:ascii="Calibri" w:hAnsi="Calibri" w:cs="Calibri"/>
          <w:color w:val="242B27"/>
          <w:sz w:val="20"/>
          <w:szCs w:val="20"/>
        </w:rPr>
        <w:t xml:space="preserve">	</w:t>
      </w:r>
      <w:r>
        <w:rPr>
          <w:rFonts w:ascii="Calibri" w:hAnsi="Calibri" w:cs="Calibri"/>
          <w:color w:val="242B27"/>
          <w:sz w:val="20"/>
          <w:szCs w:val="20"/>
        </w:rPr>
        <w:t xml:space="preserve">Status updates must be factual, proportionate and limited to the milestones approved by the client and the parties.</w:t>
      </w:r>
    </w:p>
    <w:p>
      <w:pPr>
        <w:pBdr>
          <w:top w:val="single" w:sz="4" w:space="2" w:color="EDEAE3"/>
        </w:pBdr>
        <w:ind w:left="880" w:hanging="880"/>
        <w:spacing w:before="80" w:after="80" w:line="330" w:lineRule="auto"/>
        <w:tabs>
          <w:tab w:val="left" w:pos="880"/>
        </w:tabs>
      </w:pPr>
      <w:r>
        <w:rPr>
          <w:rFonts w:ascii="Consolas" w:hAnsi="Consolas" w:cs="Consolas"/>
          <w:color w:val="8A9490"/>
          <w:sz w:val="17"/>
          <w:szCs w:val="17"/>
        </w:rPr>
        <w:t xml:space="preserve">6.3</w:t>
      </w:r>
      <w:r>
        <w:rPr>
          <w:rFonts w:ascii="Calibri" w:hAnsi="Calibri" w:cs="Calibri"/>
          <w:color w:val="242B27"/>
          <w:sz w:val="20"/>
          <w:szCs w:val="20"/>
        </w:rPr>
        <w:t xml:space="preserve">	</w:t>
      </w:r>
      <w:r>
        <w:rPr>
          <w:rFonts w:ascii="Calibri" w:hAnsi="Calibri" w:cs="Calibri"/>
          <w:color w:val="242B27"/>
          <w:sz w:val="20"/>
          <w:szCs w:val="20"/>
        </w:rPr>
        <w:t xml:space="preserve">Neither party may guarantee finance approval, property performance, valuation, settlement timing or any financial outcome.</w:t>
      </w:r>
    </w:p>
    <w:p>
      <w:pPr>
        <w:pageBreakBefore/>
        <w:keepNext/>
        <w:spacing w:before="0" w:after="40" w:line="330" w:lineRule="auto"/>
      </w:pPr>
      <w:r>
        <w:rPr>
          <w:rFonts w:ascii="Consolas" w:hAnsi="Consolas" w:cs="Consolas"/>
          <w:spacing w:val="10"/>
          <w:color w:val="B4633A"/>
          <w:sz w:val="18"/>
          <w:szCs w:val="18"/>
        </w:rPr>
        <w:t xml:space="preserve">7-9</w:t>
      </w:r>
    </w:p>
    <w:p>
      <w:pPr>
        <w:keepNext/>
        <w:spacing w:before="0" w:after="60" w:line="240" w:lineRule="auto"/>
      </w:pPr>
      <w:r>
        <w:rPr>
          <w:rFonts w:ascii="Georgia" w:hAnsi="Georgia" w:cs="Georgia"/>
          <w:color w:val="12352A"/>
          <w:sz w:val="52"/>
          <w:szCs w:val="52"/>
        </w:rPr>
        <w:t xml:space="preserve">Relationship Protections &amp; Risk Allocation</w:t>
      </w:r>
    </w:p>
    <w:p>
      <w:pPr>
        <w:keepNext/>
        <w:pBdr>
          <w:bottom w:val="single" w:sz="12" w:space="2" w:color="12352A"/>
        </w:pBdr>
        <w:spacing w:before="0" w:after="220" w:line="330" w:lineRule="auto"/>
      </w:pPr>
      <w:r>
        <w:rPr>
          <w:rFonts w:ascii="Calibri" w:hAnsi="Calibri" w:cs="Calibri"/>
          <w:color w:val="6B7570"/>
          <w:sz w:val="18"/>
          <w:szCs w:val="18"/>
        </w:rPr>
        <w:t xml:space="preserve">Independent responsibility and fair dealing</w:t>
      </w:r>
    </w:p>
    <w:p>
      <w:pPr>
        <w:keepNext/>
        <w:spacing w:before="240" w:after="60" w:line="330" w:lineRule="auto"/>
      </w:pPr>
      <w:r>
        <w:rPr>
          <w:rFonts w:ascii="Consolas" w:hAnsi="Consolas" w:cs="Consolas"/>
          <w:color w:val="B4633A"/>
          <w:sz w:val="18"/>
          <w:szCs w:val="18"/>
        </w:rPr>
        <w:t xml:space="preserve">7   </w:t>
      </w:r>
      <w:r>
        <w:rPr>
          <w:rFonts w:ascii="Calibri" w:hAnsi="Calibri" w:cs="Calibri"/>
          <w:b/>
          <w:color w:val="12352A"/>
          <w:sz w:val="22"/>
          <w:szCs w:val="22"/>
        </w:rPr>
        <w:t xml:space="preserve">Client Relationships and Non-Circumvention</w:t>
      </w:r>
    </w:p>
    <w:p>
      <w:pPr>
        <w:pBdr>
          <w:top w:val="single" w:sz="4" w:space="2" w:color="EDEAE3"/>
        </w:pBdr>
        <w:ind w:left="880" w:hanging="880"/>
        <w:spacing w:before="80" w:after="80" w:line="330" w:lineRule="auto"/>
        <w:tabs>
          <w:tab w:val="left" w:pos="880"/>
        </w:tabs>
      </w:pPr>
      <w:r>
        <w:rPr>
          <w:rFonts w:ascii="Consolas" w:hAnsi="Consolas" w:cs="Consolas"/>
          <w:color w:val="8A9490"/>
          <w:sz w:val="17"/>
          <w:szCs w:val="17"/>
        </w:rPr>
        <w:t xml:space="preserve">7.1</w:t>
      </w:r>
      <w:r>
        <w:rPr>
          <w:rFonts w:ascii="Calibri" w:hAnsi="Calibri" w:cs="Calibri"/>
          <w:color w:val="242B27"/>
          <w:sz w:val="20"/>
          <w:szCs w:val="20"/>
        </w:rPr>
        <w:t xml:space="preserve">	</w:t>
      </w:r>
      <w:r>
        <w:rPr>
          <w:rFonts w:ascii="Calibri" w:hAnsi="Calibri" w:cs="Calibri"/>
          <w:color w:val="242B27"/>
          <w:sz w:val="20"/>
          <w:szCs w:val="20"/>
        </w:rPr>
        <w:t xml:space="preserve">The Finance Partner retains responsibility for its lending relationship and the Buyer's Agency retains responsibility for its property-services relationship.</w:t>
      </w:r>
    </w:p>
    <w:p>
      <w:pPr>
        <w:pBdr>
          <w:top w:val="single" w:sz="4" w:space="2" w:color="EDEAE3"/>
        </w:pBdr>
        <w:ind w:left="880" w:hanging="880"/>
        <w:spacing w:before="80" w:after="80" w:line="330" w:lineRule="auto"/>
        <w:tabs>
          <w:tab w:val="left" w:pos="880"/>
        </w:tabs>
      </w:pPr>
      <w:r>
        <w:rPr>
          <w:rFonts w:ascii="Consolas" w:hAnsi="Consolas" w:cs="Consolas"/>
          <w:color w:val="8A9490"/>
          <w:sz w:val="17"/>
          <w:szCs w:val="17"/>
        </w:rPr>
        <w:t xml:space="preserve">7.2</w:t>
      </w:r>
      <w:r>
        <w:rPr>
          <w:rFonts w:ascii="Calibri" w:hAnsi="Calibri" w:cs="Calibri"/>
          <w:color w:val="242B27"/>
          <w:sz w:val="20"/>
          <w:szCs w:val="20"/>
        </w:rPr>
        <w:t xml:space="preserve">	</w:t>
      </w:r>
      <w:r>
        <w:rPr>
          <w:rFonts w:ascii="Calibri" w:hAnsi="Calibri" w:cs="Calibri"/>
          <w:color w:val="242B27"/>
          <w:sz w:val="20"/>
          <w:szCs w:val="20"/>
        </w:rPr>
        <w:t xml:space="preserve">Neither party may intentionally bypass the agreed referral process to avoid an accrued payment or knowingly solicit the other party's client for directly competing services outside its normal professional scope.</w:t>
      </w:r>
    </w:p>
    <w:p>
      <w:pPr>
        <w:pBdr>
          <w:top w:val="single" w:sz="4" w:space="2" w:color="EDEAE3"/>
        </w:pBdr>
        <w:ind w:left="880" w:hanging="880"/>
        <w:spacing w:before="80" w:after="80" w:line="330" w:lineRule="auto"/>
        <w:tabs>
          <w:tab w:val="left" w:pos="880"/>
        </w:tabs>
      </w:pPr>
      <w:r>
        <w:rPr>
          <w:rFonts w:ascii="Consolas" w:hAnsi="Consolas" w:cs="Consolas"/>
          <w:color w:val="8A9490"/>
          <w:sz w:val="17"/>
          <w:szCs w:val="17"/>
        </w:rPr>
        <w:t xml:space="preserve">7.3</w:t>
      </w:r>
      <w:r>
        <w:rPr>
          <w:rFonts w:ascii="Calibri" w:hAnsi="Calibri" w:cs="Calibri"/>
          <w:color w:val="242B27"/>
          <w:sz w:val="20"/>
          <w:szCs w:val="20"/>
        </w:rPr>
        <w:t xml:space="preserve">	</w:t>
      </w:r>
      <w:r>
        <w:rPr>
          <w:rFonts w:ascii="Calibri" w:hAnsi="Calibri" w:cs="Calibri"/>
          <w:color w:val="242B27"/>
          <w:sz w:val="20"/>
          <w:szCs w:val="20"/>
        </w:rPr>
        <w:t xml:space="preserve">Nothing prevents a client from independently choosing, changing or engaging service providers.</w:t>
      </w:r>
    </w:p>
    <w:p>
      <w:pPr>
        <w:keepNext/>
        <w:spacing w:before="240" w:after="60" w:line="330" w:lineRule="auto"/>
      </w:pPr>
      <w:r>
        <w:rPr>
          <w:rFonts w:ascii="Consolas" w:hAnsi="Consolas" w:cs="Consolas"/>
          <w:color w:val="B4633A"/>
          <w:sz w:val="18"/>
          <w:szCs w:val="18"/>
        </w:rPr>
        <w:t xml:space="preserve">8   </w:t>
      </w:r>
      <w:r>
        <w:rPr>
          <w:rFonts w:ascii="Calibri" w:hAnsi="Calibri" w:cs="Calibri"/>
          <w:b/>
          <w:color w:val="12352A"/>
          <w:sz w:val="22"/>
          <w:szCs w:val="22"/>
        </w:rPr>
        <w:t xml:space="preserve">Confidentiality, Insurance and Records</w:t>
      </w:r>
    </w:p>
    <w:p>
      <w:pPr>
        <w:pBdr>
          <w:top w:val="single" w:sz="4" w:space="2" w:color="EDEAE3"/>
        </w:pBdr>
        <w:ind w:left="880" w:hanging="880"/>
        <w:spacing w:before="80" w:after="80" w:line="330" w:lineRule="auto"/>
        <w:tabs>
          <w:tab w:val="left" w:pos="880"/>
        </w:tabs>
      </w:pPr>
      <w:r>
        <w:rPr>
          <w:rFonts w:ascii="Consolas" w:hAnsi="Consolas" w:cs="Consolas"/>
          <w:color w:val="8A9490"/>
          <w:sz w:val="17"/>
          <w:szCs w:val="17"/>
        </w:rPr>
        <w:t xml:space="preserve">8.1</w:t>
      </w:r>
      <w:r>
        <w:rPr>
          <w:rFonts w:ascii="Calibri" w:hAnsi="Calibri" w:cs="Calibri"/>
          <w:color w:val="242B27"/>
          <w:sz w:val="20"/>
          <w:szCs w:val="20"/>
        </w:rPr>
        <w:t xml:space="preserve">	</w:t>
      </w:r>
      <w:r>
        <w:rPr>
          <w:rFonts w:ascii="Calibri" w:hAnsi="Calibri" w:cs="Calibri"/>
          <w:color w:val="242B27"/>
          <w:sz w:val="20"/>
          <w:szCs w:val="20"/>
        </w:rPr>
        <w:t xml:space="preserve">Each party must keep confidential non-public client, commercial and operational information and disclose it only as authorised or required by law.</w:t>
      </w:r>
    </w:p>
    <w:p>
      <w:pPr>
        <w:pBdr>
          <w:top w:val="single" w:sz="4" w:space="2" w:color="EDEAE3"/>
        </w:pBdr>
        <w:ind w:left="880" w:hanging="880"/>
        <w:spacing w:before="80" w:after="80" w:line="330" w:lineRule="auto"/>
        <w:tabs>
          <w:tab w:val="left" w:pos="880"/>
        </w:tabs>
      </w:pPr>
      <w:r>
        <w:rPr>
          <w:rFonts w:ascii="Consolas" w:hAnsi="Consolas" w:cs="Consolas"/>
          <w:color w:val="8A9490"/>
          <w:sz w:val="17"/>
          <w:szCs w:val="17"/>
        </w:rPr>
        <w:t xml:space="preserve">8.2</w:t>
      </w:r>
      <w:r>
        <w:rPr>
          <w:rFonts w:ascii="Calibri" w:hAnsi="Calibri" w:cs="Calibri"/>
          <w:color w:val="242B27"/>
          <w:sz w:val="20"/>
          <w:szCs w:val="20"/>
        </w:rPr>
        <w:t xml:space="preserve">	</w:t>
      </w:r>
      <w:r>
        <w:rPr>
          <w:rFonts w:ascii="Calibri" w:hAnsi="Calibri" w:cs="Calibri"/>
          <w:color w:val="242B27"/>
          <w:sz w:val="20"/>
          <w:szCs w:val="20"/>
        </w:rPr>
        <w:t xml:space="preserve">Each party must maintain insurance reasonably appropriate to its services and legal obligations.</w:t>
      </w:r>
    </w:p>
    <w:p>
      <w:pPr>
        <w:pBdr>
          <w:top w:val="single" w:sz="4" w:space="2" w:color="EDEAE3"/>
        </w:pBdr>
        <w:ind w:left="880" w:hanging="880"/>
        <w:spacing w:before="80" w:after="80" w:line="330" w:lineRule="auto"/>
        <w:tabs>
          <w:tab w:val="left" w:pos="880"/>
        </w:tabs>
      </w:pPr>
      <w:r>
        <w:rPr>
          <w:rFonts w:ascii="Consolas" w:hAnsi="Consolas" w:cs="Consolas"/>
          <w:color w:val="8A9490"/>
          <w:sz w:val="17"/>
          <w:szCs w:val="17"/>
        </w:rPr>
        <w:t xml:space="preserve">8.3</w:t>
      </w:r>
      <w:r>
        <w:rPr>
          <w:rFonts w:ascii="Calibri" w:hAnsi="Calibri" w:cs="Calibri"/>
          <w:color w:val="242B27"/>
          <w:sz w:val="20"/>
          <w:szCs w:val="20"/>
        </w:rPr>
        <w:t xml:space="preserve">	</w:t>
      </w:r>
      <w:r>
        <w:rPr>
          <w:rFonts w:ascii="Calibri" w:hAnsi="Calibri" w:cs="Calibri"/>
          <w:color w:val="242B27"/>
          <w:sz w:val="20"/>
          <w:szCs w:val="20"/>
        </w:rPr>
        <w:t xml:space="preserve">Each party must retain referral, consent, disclosure, invoice and payment records for the period required by applicable law and its compliance framework.</w:t>
      </w:r>
    </w:p>
    <w:p>
      <w:pPr>
        <w:keepNext/>
        <w:spacing w:before="240" w:after="60" w:line="330" w:lineRule="auto"/>
      </w:pPr>
      <w:r>
        <w:rPr>
          <w:rFonts w:ascii="Consolas" w:hAnsi="Consolas" w:cs="Consolas"/>
          <w:color w:val="B4633A"/>
          <w:sz w:val="18"/>
          <w:szCs w:val="18"/>
        </w:rPr>
        <w:t xml:space="preserve">9   </w:t>
      </w:r>
      <w:r>
        <w:rPr>
          <w:rFonts w:ascii="Calibri" w:hAnsi="Calibri" w:cs="Calibri"/>
          <w:b/>
          <w:color w:val="12352A"/>
          <w:sz w:val="22"/>
          <w:szCs w:val="22"/>
        </w:rPr>
        <w:t xml:space="preserve">Liability and Indemnity</w:t>
      </w:r>
    </w:p>
    <w:p>
      <w:pPr>
        <w:pBdr>
          <w:top w:val="single" w:sz="4" w:space="2" w:color="EDEAE3"/>
        </w:pBdr>
        <w:ind w:left="880" w:hanging="880"/>
        <w:spacing w:before="80" w:after="80" w:line="330" w:lineRule="auto"/>
        <w:tabs>
          <w:tab w:val="left" w:pos="880"/>
        </w:tabs>
      </w:pPr>
      <w:r>
        <w:rPr>
          <w:rFonts w:ascii="Consolas" w:hAnsi="Consolas" w:cs="Consolas"/>
          <w:color w:val="8A9490"/>
          <w:sz w:val="17"/>
          <w:szCs w:val="17"/>
        </w:rPr>
        <w:t xml:space="preserve">9.1</w:t>
      </w:r>
      <w:r>
        <w:rPr>
          <w:rFonts w:ascii="Calibri" w:hAnsi="Calibri" w:cs="Calibri"/>
          <w:color w:val="242B27"/>
          <w:sz w:val="20"/>
          <w:szCs w:val="20"/>
        </w:rPr>
        <w:t xml:space="preserve">	</w:t>
      </w:r>
      <w:r>
        <w:rPr>
          <w:rFonts w:ascii="Calibri" w:hAnsi="Calibri" w:cs="Calibri"/>
          <w:color w:val="242B27"/>
          <w:sz w:val="20"/>
          <w:szCs w:val="20"/>
        </w:rPr>
        <w:t xml:space="preserve">Each party remains responsible for its own acts, omissions, advice, representations, staff, contractors and regulatory obligations.</w:t>
      </w:r>
    </w:p>
    <w:p>
      <w:pPr>
        <w:pBdr>
          <w:top w:val="single" w:sz="4" w:space="2" w:color="EDEAE3"/>
        </w:pBdr>
        <w:ind w:left="880" w:hanging="880"/>
        <w:spacing w:before="80" w:after="80" w:line="330" w:lineRule="auto"/>
        <w:tabs>
          <w:tab w:val="left" w:pos="880"/>
        </w:tabs>
      </w:pPr>
      <w:r>
        <w:rPr>
          <w:rFonts w:ascii="Consolas" w:hAnsi="Consolas" w:cs="Consolas"/>
          <w:color w:val="8A9490"/>
          <w:sz w:val="17"/>
          <w:szCs w:val="17"/>
        </w:rPr>
        <w:t xml:space="preserve">9.2</w:t>
      </w:r>
      <w:r>
        <w:rPr>
          <w:rFonts w:ascii="Calibri" w:hAnsi="Calibri" w:cs="Calibri"/>
          <w:color w:val="242B27"/>
          <w:sz w:val="20"/>
          <w:szCs w:val="20"/>
        </w:rPr>
        <w:t xml:space="preserve">	</w:t>
      </w:r>
      <w:r>
        <w:rPr>
          <w:rFonts w:ascii="Calibri" w:hAnsi="Calibri" w:cs="Calibri"/>
          <w:color w:val="242B27"/>
          <w:sz w:val="20"/>
          <w:szCs w:val="20"/>
        </w:rPr>
        <w:t xml:space="preserve">To the extent permitted by law, each party indemnifies the other against third-party loss arising directly from its material breach, negligence, unlawful conduct or unauthorised representation.</w:t>
      </w:r>
    </w:p>
    <w:p>
      <w:pPr>
        <w:pBdr>
          <w:top w:val="single" w:sz="4" w:space="2" w:color="EDEAE3"/>
        </w:pBdr>
        <w:ind w:left="880" w:hanging="880"/>
        <w:spacing w:before="80" w:after="80" w:line="330" w:lineRule="auto"/>
        <w:tabs>
          <w:tab w:val="left" w:pos="880"/>
        </w:tabs>
      </w:pPr>
      <w:r>
        <w:rPr>
          <w:rFonts w:ascii="Consolas" w:hAnsi="Consolas" w:cs="Consolas"/>
          <w:color w:val="8A9490"/>
          <w:sz w:val="17"/>
          <w:szCs w:val="17"/>
        </w:rPr>
        <w:t xml:space="preserve">9.3</w:t>
      </w:r>
      <w:r>
        <w:rPr>
          <w:rFonts w:ascii="Calibri" w:hAnsi="Calibri" w:cs="Calibri"/>
          <w:color w:val="242B27"/>
          <w:sz w:val="20"/>
          <w:szCs w:val="20"/>
        </w:rPr>
        <w:t xml:space="preserve">	</w:t>
      </w:r>
      <w:r>
        <w:rPr>
          <w:rFonts w:ascii="Calibri" w:hAnsi="Calibri" w:cs="Calibri"/>
          <w:color w:val="242B27"/>
          <w:sz w:val="20"/>
          <w:szCs w:val="20"/>
        </w:rPr>
        <w:t xml:space="preserve">Neither party is liable for the independent decision of a client, lender, vendor, valuer, insurer or other third party, except to the extent caused by that party's own breach or negligence.</w:t>
      </w:r>
    </w:p>
    <w:p>
      <w:pPr>
        <w:pageBreakBefore/>
        <w:keepNext/>
        <w:spacing w:before="0" w:after="40" w:line="330" w:lineRule="auto"/>
      </w:pPr>
      <w:r>
        <w:rPr>
          <w:rFonts w:ascii="Consolas" w:hAnsi="Consolas" w:cs="Consolas"/>
          <w:spacing w:val="10"/>
          <w:color w:val="B4633A"/>
          <w:sz w:val="18"/>
          <w:szCs w:val="18"/>
        </w:rPr>
        <w:t xml:space="preserve">10-12</w:t>
      </w:r>
    </w:p>
    <w:p>
      <w:pPr>
        <w:keepNext/>
        <w:spacing w:before="0" w:after="60" w:line="240" w:lineRule="auto"/>
      </w:pPr>
      <w:r>
        <w:rPr>
          <w:rFonts w:ascii="Georgia" w:hAnsi="Georgia" w:cs="Georgia"/>
          <w:color w:val="12352A"/>
          <w:sz w:val="52"/>
          <w:szCs w:val="52"/>
        </w:rPr>
        <w:t xml:space="preserve">Term, Termination &amp; General Provisions</w:t>
      </w:r>
    </w:p>
    <w:p>
      <w:pPr>
        <w:keepNext/>
        <w:pBdr>
          <w:bottom w:val="single" w:sz="12" w:space="2" w:color="12352A"/>
        </w:pBdr>
        <w:spacing w:before="0" w:after="220" w:line="330" w:lineRule="auto"/>
      </w:pPr>
      <w:r>
        <w:rPr>
          <w:rFonts w:ascii="Calibri" w:hAnsi="Calibri" w:cs="Calibri"/>
          <w:color w:val="6B7570"/>
          <w:sz w:val="18"/>
          <w:szCs w:val="18"/>
        </w:rPr>
        <w:t xml:space="preserve">Lifecycle, disputes and governing law</w:t>
      </w:r>
    </w:p>
    <w:p>
      <w:pPr>
        <w:keepNext/>
        <w:spacing w:before="240" w:after="60" w:line="330" w:lineRule="auto"/>
      </w:pPr>
      <w:r>
        <w:rPr>
          <w:rFonts w:ascii="Consolas" w:hAnsi="Consolas" w:cs="Consolas"/>
          <w:color w:val="B4633A"/>
          <w:sz w:val="18"/>
          <w:szCs w:val="18"/>
        </w:rPr>
        <w:t xml:space="preserve">10   </w:t>
      </w:r>
      <w:r>
        <w:rPr>
          <w:rFonts w:ascii="Calibri" w:hAnsi="Calibri" w:cs="Calibri"/>
          <w:b/>
          <w:color w:val="12352A"/>
          <w:sz w:val="22"/>
          <w:szCs w:val="22"/>
        </w:rPr>
        <w:t xml:space="preserve">Term and Termination</w:t>
      </w:r>
    </w:p>
    <w:p>
      <w:pPr>
        <w:pBdr>
          <w:top w:val="single" w:sz="4" w:space="2" w:color="EDEAE3"/>
        </w:pBdr>
        <w:ind w:left="880" w:hanging="880"/>
        <w:spacing w:before="80" w:after="80" w:line="330" w:lineRule="auto"/>
        <w:tabs>
          <w:tab w:val="left" w:pos="880"/>
        </w:tabs>
      </w:pPr>
      <w:r>
        <w:rPr>
          <w:rFonts w:ascii="Consolas" w:hAnsi="Consolas" w:cs="Consolas"/>
          <w:color w:val="8A9490"/>
          <w:sz w:val="17"/>
          <w:szCs w:val="17"/>
        </w:rPr>
        <w:t xml:space="preserve">10.1</w:t>
      </w:r>
      <w:r>
        <w:rPr>
          <w:rFonts w:ascii="Calibri" w:hAnsi="Calibri" w:cs="Calibri"/>
          <w:color w:val="242B27"/>
          <w:sz w:val="20"/>
          <w:szCs w:val="20"/>
        </w:rPr>
        <w:t xml:space="preserve">	</w:t>
      </w:r>
      <w:r>
        <w:rPr>
          <w:rFonts w:ascii="Calibri" w:hAnsi="Calibri" w:cs="Calibri"/>
          <w:color w:val="242B27"/>
          <w:sz w:val="20"/>
          <w:szCs w:val="20"/>
        </w:rPr>
        <w:t xml:space="preserve">This Agreement starts when signed by both parties and continues until terminated.</w:t>
      </w:r>
    </w:p>
    <w:p>
      <w:pPr>
        <w:pBdr>
          <w:top w:val="single" w:sz="4" w:space="2" w:color="EDEAE3"/>
        </w:pBdr>
        <w:ind w:left="880" w:hanging="880"/>
        <w:spacing w:before="80" w:after="80" w:line="330" w:lineRule="auto"/>
        <w:tabs>
          <w:tab w:val="left" w:pos="880"/>
        </w:tabs>
      </w:pPr>
      <w:r>
        <w:rPr>
          <w:rFonts w:ascii="Consolas" w:hAnsi="Consolas" w:cs="Consolas"/>
          <w:color w:val="8A9490"/>
          <w:sz w:val="17"/>
          <w:szCs w:val="17"/>
        </w:rPr>
        <w:t xml:space="preserve">10.2</w:t>
      </w:r>
      <w:r>
        <w:rPr>
          <w:rFonts w:ascii="Calibri" w:hAnsi="Calibri" w:cs="Calibri"/>
          <w:color w:val="242B27"/>
          <w:sz w:val="20"/>
          <w:szCs w:val="20"/>
        </w:rPr>
        <w:t xml:space="preserve">	</w:t>
      </w:r>
      <w:r>
        <w:rPr>
          <w:rFonts w:ascii="Calibri" w:hAnsi="Calibri" w:cs="Calibri"/>
          <w:color w:val="242B27"/>
          <w:sz w:val="20"/>
          <w:szCs w:val="20"/>
        </w:rPr>
        <w:t xml:space="preserve">Either party may terminate without cause by giving </w:t>
      </w:r>
      <w:r>
        <w:rPr>
          <w:rFonts w:ascii="Consolas" w:hAnsi="Consolas" w:cs="Consolas"/>
          <w:color w:val="8A6A2F"/>
          <w:sz w:val="17"/>
          <w:szCs w:val="17"/>
          <w:shd w:val="clear" w:color="auto" w:fill="FAF3E8"/>
        </w:rPr>
        <w:t xml:space="preserve">&lt;&lt;NUMBER&gt;&gt;</w:t>
      </w:r>
      <w:r>
        <w:rPr>
          <w:rFonts w:ascii="Calibri" w:hAnsi="Calibri" w:cs="Calibri"/>
          <w:color w:val="242B27"/>
          <w:sz w:val="20"/>
          <w:szCs w:val="20"/>
        </w:rPr>
        <w:t xml:space="preserve"> days' written notice.</w:t>
      </w:r>
    </w:p>
    <w:p>
      <w:pPr>
        <w:pBdr>
          <w:top w:val="single" w:sz="4" w:space="2" w:color="EDEAE3"/>
        </w:pBdr>
        <w:ind w:left="880" w:hanging="880"/>
        <w:spacing w:before="80" w:after="80" w:line="330" w:lineRule="auto"/>
        <w:tabs>
          <w:tab w:val="left" w:pos="880"/>
        </w:tabs>
      </w:pPr>
      <w:r>
        <w:rPr>
          <w:rFonts w:ascii="Consolas" w:hAnsi="Consolas" w:cs="Consolas"/>
          <w:color w:val="8A9490"/>
          <w:sz w:val="17"/>
          <w:szCs w:val="17"/>
        </w:rPr>
        <w:t xml:space="preserve">10.3</w:t>
      </w:r>
      <w:r>
        <w:rPr>
          <w:rFonts w:ascii="Calibri" w:hAnsi="Calibri" w:cs="Calibri"/>
          <w:color w:val="242B27"/>
          <w:sz w:val="20"/>
          <w:szCs w:val="20"/>
        </w:rPr>
        <w:t xml:space="preserve">	</w:t>
      </w:r>
      <w:r>
        <w:rPr>
          <w:rFonts w:ascii="Calibri" w:hAnsi="Calibri" w:cs="Calibri"/>
          <w:color w:val="242B27"/>
          <w:sz w:val="20"/>
          <w:szCs w:val="20"/>
        </w:rPr>
        <w:t xml:space="preserve">A party may terminate immediately for an unremedied material breach after </w:t>
      </w:r>
      <w:r>
        <w:rPr>
          <w:rFonts w:ascii="Consolas" w:hAnsi="Consolas" w:cs="Consolas"/>
          <w:color w:val="8A6A2F"/>
          <w:sz w:val="17"/>
          <w:szCs w:val="17"/>
          <w:shd w:val="clear" w:color="auto" w:fill="FAF3E8"/>
        </w:rPr>
        <w:t xml:space="preserve">&lt;&lt;NUMBER&gt;&gt;</w:t>
      </w:r>
      <w:r>
        <w:rPr>
          <w:rFonts w:ascii="Calibri" w:hAnsi="Calibri" w:cs="Calibri"/>
          <w:color w:val="242B27"/>
          <w:sz w:val="20"/>
          <w:szCs w:val="20"/>
        </w:rPr>
        <w:t xml:space="preserve"> business days' written notice, fraud, gross misconduct, insolvency, loss of required licence or material regulatory risk.</w:t>
      </w:r>
    </w:p>
    <w:p>
      <w:pPr>
        <w:pBdr>
          <w:top w:val="single" w:sz="4" w:space="2" w:color="EDEAE3"/>
        </w:pBdr>
        <w:ind w:left="880" w:hanging="880"/>
        <w:spacing w:before="80" w:after="80" w:line="330" w:lineRule="auto"/>
        <w:tabs>
          <w:tab w:val="left" w:pos="880"/>
        </w:tabs>
      </w:pPr>
      <w:r>
        <w:rPr>
          <w:rFonts w:ascii="Consolas" w:hAnsi="Consolas" w:cs="Consolas"/>
          <w:color w:val="8A9490"/>
          <w:sz w:val="17"/>
          <w:szCs w:val="17"/>
        </w:rPr>
        <w:t xml:space="preserve">10.4</w:t>
      </w:r>
      <w:r>
        <w:rPr>
          <w:rFonts w:ascii="Calibri" w:hAnsi="Calibri" w:cs="Calibri"/>
          <w:color w:val="242B27"/>
          <w:sz w:val="20"/>
          <w:szCs w:val="20"/>
        </w:rPr>
        <w:t xml:space="preserve">	</w:t>
      </w:r>
      <w:r>
        <w:rPr>
          <w:rFonts w:ascii="Calibri" w:hAnsi="Calibri" w:cs="Calibri"/>
          <w:color w:val="242B27"/>
          <w:sz w:val="20"/>
          <w:szCs w:val="20"/>
        </w:rPr>
        <w:t xml:space="preserve">Termination does not affect rights and obligations accrued before termination, including any payment entitlement preserved in the Commercial Schedule.</w:t>
      </w:r>
    </w:p>
    <w:p>
      <w:pPr>
        <w:keepNext/>
        <w:spacing w:before="240" w:after="60" w:line="330" w:lineRule="auto"/>
      </w:pPr>
      <w:r>
        <w:rPr>
          <w:rFonts w:ascii="Consolas" w:hAnsi="Consolas" w:cs="Consolas"/>
          <w:color w:val="B4633A"/>
          <w:sz w:val="18"/>
          <w:szCs w:val="18"/>
        </w:rPr>
        <w:t xml:space="preserve">11   </w:t>
      </w:r>
      <w:r>
        <w:rPr>
          <w:rFonts w:ascii="Calibri" w:hAnsi="Calibri" w:cs="Calibri"/>
          <w:b/>
          <w:color w:val="12352A"/>
          <w:sz w:val="22"/>
          <w:szCs w:val="22"/>
        </w:rPr>
        <w:t xml:space="preserve">Dispute Resolution</w:t>
      </w:r>
    </w:p>
    <w:p>
      <w:pPr>
        <w:pBdr>
          <w:top w:val="single" w:sz="4" w:space="2" w:color="EDEAE3"/>
        </w:pBdr>
        <w:ind w:left="880" w:hanging="880"/>
        <w:spacing w:before="80" w:after="80" w:line="330" w:lineRule="auto"/>
        <w:tabs>
          <w:tab w:val="left" w:pos="880"/>
        </w:tabs>
      </w:pPr>
      <w:r>
        <w:rPr>
          <w:rFonts w:ascii="Consolas" w:hAnsi="Consolas" w:cs="Consolas"/>
          <w:color w:val="8A9490"/>
          <w:sz w:val="17"/>
          <w:szCs w:val="17"/>
        </w:rPr>
        <w:t xml:space="preserve">11.1</w:t>
      </w:r>
      <w:r>
        <w:rPr>
          <w:rFonts w:ascii="Calibri" w:hAnsi="Calibri" w:cs="Calibri"/>
          <w:color w:val="242B27"/>
          <w:sz w:val="20"/>
          <w:szCs w:val="20"/>
        </w:rPr>
        <w:t xml:space="preserve">	</w:t>
      </w:r>
      <w:r>
        <w:rPr>
          <w:rFonts w:ascii="Calibri" w:hAnsi="Calibri" w:cs="Calibri"/>
          <w:color w:val="242B27"/>
          <w:sz w:val="20"/>
          <w:szCs w:val="20"/>
        </w:rPr>
        <w:t xml:space="preserve">A party must first give written details of a dispute and allow senior representatives to attempt resolution in good faith.</w:t>
      </w:r>
    </w:p>
    <w:p>
      <w:pPr>
        <w:pBdr>
          <w:top w:val="single" w:sz="4" w:space="2" w:color="EDEAE3"/>
        </w:pBdr>
        <w:ind w:left="880" w:hanging="880"/>
        <w:spacing w:before="80" w:after="80" w:line="330" w:lineRule="auto"/>
        <w:tabs>
          <w:tab w:val="left" w:pos="880"/>
        </w:tabs>
      </w:pPr>
      <w:r>
        <w:rPr>
          <w:rFonts w:ascii="Consolas" w:hAnsi="Consolas" w:cs="Consolas"/>
          <w:color w:val="8A9490"/>
          <w:sz w:val="17"/>
          <w:szCs w:val="17"/>
        </w:rPr>
        <w:t xml:space="preserve">11.2</w:t>
      </w:r>
      <w:r>
        <w:rPr>
          <w:rFonts w:ascii="Calibri" w:hAnsi="Calibri" w:cs="Calibri"/>
          <w:color w:val="242B27"/>
          <w:sz w:val="20"/>
          <w:szCs w:val="20"/>
        </w:rPr>
        <w:t xml:space="preserve">	</w:t>
      </w:r>
      <w:r>
        <w:rPr>
          <w:rFonts w:ascii="Calibri" w:hAnsi="Calibri" w:cs="Calibri"/>
          <w:color w:val="242B27"/>
          <w:sz w:val="20"/>
          <w:szCs w:val="20"/>
        </w:rPr>
        <w:t xml:space="preserve">If unresolved within </w:t>
      </w:r>
      <w:r>
        <w:rPr>
          <w:rFonts w:ascii="Consolas" w:hAnsi="Consolas" w:cs="Consolas"/>
          <w:color w:val="8A6A2F"/>
          <w:sz w:val="17"/>
          <w:szCs w:val="17"/>
          <w:shd w:val="clear" w:color="auto" w:fill="FAF3E8"/>
        </w:rPr>
        <w:t xml:space="preserve">&lt;&lt;NUMBER&gt;&gt;</w:t>
      </w:r>
      <w:r>
        <w:rPr>
          <w:rFonts w:ascii="Calibri" w:hAnsi="Calibri" w:cs="Calibri"/>
          <w:color w:val="242B27"/>
          <w:sz w:val="20"/>
          <w:szCs w:val="20"/>
        </w:rPr>
        <w:t xml:space="preserve"> business days, the parties may refer the dispute to mediation before commencing court proceedings, except for urgent relief.</w:t>
      </w:r>
    </w:p>
    <w:p>
      <w:pPr>
        <w:keepNext/>
        <w:spacing w:before="240" w:after="60" w:line="330" w:lineRule="auto"/>
      </w:pPr>
      <w:r>
        <w:rPr>
          <w:rFonts w:ascii="Consolas" w:hAnsi="Consolas" w:cs="Consolas"/>
          <w:color w:val="B4633A"/>
          <w:sz w:val="18"/>
          <w:szCs w:val="18"/>
        </w:rPr>
        <w:t xml:space="preserve">12   </w:t>
      </w:r>
      <w:r>
        <w:rPr>
          <w:rFonts w:ascii="Calibri" w:hAnsi="Calibri" w:cs="Calibri"/>
          <w:b/>
          <w:color w:val="12352A"/>
          <w:sz w:val="22"/>
          <w:szCs w:val="22"/>
        </w:rPr>
        <w:t xml:space="preserve">Notices and General</w:t>
      </w:r>
    </w:p>
    <w:p>
      <w:pPr>
        <w:pBdr>
          <w:top w:val="single" w:sz="4" w:space="2" w:color="EDEAE3"/>
        </w:pBdr>
        <w:ind w:left="880" w:hanging="880"/>
        <w:spacing w:before="80" w:after="80" w:line="330" w:lineRule="auto"/>
        <w:tabs>
          <w:tab w:val="left" w:pos="880"/>
        </w:tabs>
      </w:pPr>
      <w:r>
        <w:rPr>
          <w:rFonts w:ascii="Consolas" w:hAnsi="Consolas" w:cs="Consolas"/>
          <w:color w:val="8A9490"/>
          <w:sz w:val="17"/>
          <w:szCs w:val="17"/>
        </w:rPr>
        <w:t xml:space="preserve">12.1</w:t>
      </w:r>
      <w:r>
        <w:rPr>
          <w:rFonts w:ascii="Calibri" w:hAnsi="Calibri" w:cs="Calibri"/>
          <w:color w:val="242B27"/>
          <w:sz w:val="20"/>
          <w:szCs w:val="20"/>
        </w:rPr>
        <w:t xml:space="preserve">	</w:t>
      </w:r>
      <w:r>
        <w:rPr>
          <w:rFonts w:ascii="Calibri" w:hAnsi="Calibri" w:cs="Calibri"/>
          <w:color w:val="242B27"/>
          <w:sz w:val="20"/>
          <w:szCs w:val="20"/>
        </w:rPr>
        <w:t xml:space="preserve">Notices must be in writing and sent to the addresses or emails stated in the Agreement Details, as updated by notice.</w:t>
      </w:r>
    </w:p>
    <w:p>
      <w:pPr>
        <w:pBdr>
          <w:top w:val="single" w:sz="4" w:space="2" w:color="EDEAE3"/>
        </w:pBdr>
        <w:ind w:left="880" w:hanging="880"/>
        <w:spacing w:before="80" w:after="80" w:line="330" w:lineRule="auto"/>
        <w:tabs>
          <w:tab w:val="left" w:pos="880"/>
        </w:tabs>
      </w:pPr>
      <w:r>
        <w:rPr>
          <w:rFonts w:ascii="Consolas" w:hAnsi="Consolas" w:cs="Consolas"/>
          <w:color w:val="8A9490"/>
          <w:sz w:val="17"/>
          <w:szCs w:val="17"/>
        </w:rPr>
        <w:t xml:space="preserve">12.2</w:t>
      </w:r>
      <w:r>
        <w:rPr>
          <w:rFonts w:ascii="Calibri" w:hAnsi="Calibri" w:cs="Calibri"/>
          <w:color w:val="242B27"/>
          <w:sz w:val="20"/>
          <w:szCs w:val="20"/>
        </w:rPr>
        <w:t xml:space="preserve">	</w:t>
      </w:r>
      <w:r>
        <w:rPr>
          <w:rFonts w:ascii="Calibri" w:hAnsi="Calibri" w:cs="Calibri"/>
          <w:color w:val="242B27"/>
          <w:sz w:val="20"/>
          <w:szCs w:val="20"/>
        </w:rPr>
        <w:t xml:space="preserve">This Agreement, including completed schedules, is the entire agreement on its subject matter and may only be varied in writing signed by both parties.</w:t>
      </w:r>
    </w:p>
    <w:p>
      <w:pPr>
        <w:pBdr>
          <w:top w:val="single" w:sz="4" w:space="2" w:color="EDEAE3"/>
        </w:pBdr>
        <w:ind w:left="880" w:hanging="880"/>
        <w:spacing w:before="80" w:after="80" w:line="330" w:lineRule="auto"/>
        <w:tabs>
          <w:tab w:val="left" w:pos="880"/>
        </w:tabs>
      </w:pPr>
      <w:r>
        <w:rPr>
          <w:rFonts w:ascii="Consolas" w:hAnsi="Consolas" w:cs="Consolas"/>
          <w:color w:val="8A9490"/>
          <w:sz w:val="17"/>
          <w:szCs w:val="17"/>
        </w:rPr>
        <w:t xml:space="preserve">12.3</w:t>
      </w:r>
      <w:r>
        <w:rPr>
          <w:rFonts w:ascii="Calibri" w:hAnsi="Calibri" w:cs="Calibri"/>
          <w:color w:val="242B27"/>
          <w:sz w:val="20"/>
          <w:szCs w:val="20"/>
        </w:rPr>
        <w:t xml:space="preserve">	</w:t>
      </w:r>
      <w:r>
        <w:rPr>
          <w:rFonts w:ascii="Calibri" w:hAnsi="Calibri" w:cs="Calibri"/>
          <w:color w:val="242B27"/>
          <w:sz w:val="20"/>
          <w:szCs w:val="20"/>
        </w:rPr>
        <w:t xml:space="preserve">Neither party may assign this Agreement without the other party's written consent, not to be unreasonably withheld, except as part of a genuine business restructure that does not reduce the other party's rights.</w:t>
      </w:r>
    </w:p>
    <w:p>
      <w:pPr>
        <w:pBdr>
          <w:top w:val="single" w:sz="4" w:space="2" w:color="EDEAE3"/>
        </w:pBdr>
        <w:ind w:left="880" w:hanging="880"/>
        <w:spacing w:before="80" w:after="80" w:line="330" w:lineRule="auto"/>
        <w:tabs>
          <w:tab w:val="left" w:pos="880"/>
        </w:tabs>
      </w:pPr>
      <w:r>
        <w:rPr>
          <w:rFonts w:ascii="Consolas" w:hAnsi="Consolas" w:cs="Consolas"/>
          <w:color w:val="8A9490"/>
          <w:sz w:val="17"/>
          <w:szCs w:val="17"/>
        </w:rPr>
        <w:t xml:space="preserve">12.4</w:t>
      </w:r>
      <w:r>
        <w:rPr>
          <w:rFonts w:ascii="Calibri" w:hAnsi="Calibri" w:cs="Calibri"/>
          <w:color w:val="242B27"/>
          <w:sz w:val="20"/>
          <w:szCs w:val="20"/>
        </w:rPr>
        <w:t xml:space="preserve">	</w:t>
      </w:r>
      <w:r>
        <w:rPr>
          <w:rFonts w:ascii="Calibri" w:hAnsi="Calibri" w:cs="Calibri"/>
          <w:color w:val="242B27"/>
          <w:sz w:val="20"/>
          <w:szCs w:val="20"/>
        </w:rPr>
        <w:t xml:space="preserve">If a provision is invalid, it is severed to the minimum extent required. The remaining provisions continue.</w:t>
      </w:r>
    </w:p>
    <w:p>
      <w:pPr>
        <w:pBdr>
          <w:top w:val="single" w:sz="4" w:space="2" w:color="EDEAE3"/>
        </w:pBdr>
        <w:ind w:left="880" w:hanging="880"/>
        <w:spacing w:before="80" w:after="80" w:line="330" w:lineRule="auto"/>
        <w:tabs>
          <w:tab w:val="left" w:pos="880"/>
        </w:tabs>
      </w:pPr>
      <w:r>
        <w:rPr>
          <w:rFonts w:ascii="Consolas" w:hAnsi="Consolas" w:cs="Consolas"/>
          <w:color w:val="8A9490"/>
          <w:sz w:val="17"/>
          <w:szCs w:val="17"/>
        </w:rPr>
        <w:t xml:space="preserve">12.5</w:t>
      </w:r>
      <w:r>
        <w:rPr>
          <w:rFonts w:ascii="Calibri" w:hAnsi="Calibri" w:cs="Calibri"/>
          <w:color w:val="242B27"/>
          <w:sz w:val="20"/>
          <w:szCs w:val="20"/>
        </w:rPr>
        <w:t xml:space="preserve">	</w:t>
      </w:r>
      <w:r>
        <w:rPr>
          <w:rFonts w:ascii="Calibri" w:hAnsi="Calibri" w:cs="Calibri"/>
          <w:color w:val="242B27"/>
          <w:sz w:val="20"/>
          <w:szCs w:val="20"/>
        </w:rPr>
        <w:t xml:space="preserve">This Agreement is governed by the laws of </w:t>
      </w:r>
      <w:r>
        <w:rPr>
          <w:rFonts w:ascii="Consolas" w:hAnsi="Consolas" w:cs="Consolas"/>
          <w:color w:val="8A6A2F"/>
          <w:sz w:val="17"/>
          <w:szCs w:val="17"/>
          <w:shd w:val="clear" w:color="auto" w:fill="FAF3E8"/>
        </w:rPr>
        <w:t xml:space="preserve">&lt;&lt;INSERT&gt;&gt;</w:t>
      </w:r>
      <w:r>
        <w:rPr>
          <w:rFonts w:ascii="Calibri" w:hAnsi="Calibri" w:cs="Calibri"/>
          <w:color w:val="242B27"/>
          <w:sz w:val="20"/>
          <w:szCs w:val="20"/>
        </w:rPr>
        <w:t xml:space="preserve"> and the parties submit to the courts of that jurisdiction.</w:t>
      </w:r>
    </w:p>
    <w:p>
      <w:pPr>
        <w:pageBreakBefore/>
        <w:keepNext/>
        <w:spacing w:before="0" w:after="40" w:line="330" w:lineRule="auto"/>
      </w:pPr>
      <w:r>
        <w:rPr>
          <w:rFonts w:ascii="Consolas" w:hAnsi="Consolas" w:cs="Consolas"/>
          <w:spacing w:val="10"/>
          <w:color w:val="B4633A"/>
          <w:sz w:val="18"/>
          <w:szCs w:val="18"/>
        </w:rPr>
        <w:t xml:space="preserve">13</w:t>
      </w:r>
    </w:p>
    <w:p>
      <w:pPr>
        <w:keepNext/>
        <w:spacing w:before="0" w:after="60" w:line="240" w:lineRule="auto"/>
      </w:pPr>
      <w:r>
        <w:rPr>
          <w:rFonts w:ascii="Georgia" w:hAnsi="Georgia" w:cs="Georgia"/>
          <w:color w:val="12352A"/>
          <w:sz w:val="52"/>
          <w:szCs w:val="52"/>
        </w:rPr>
        <w:t xml:space="preserve">Execution</w:t>
      </w:r>
    </w:p>
    <w:p>
      <w:pPr>
        <w:keepNext/>
        <w:pBdr>
          <w:bottom w:val="single" w:sz="12" w:space="2" w:color="12352A"/>
        </w:pBdr>
        <w:spacing w:before="0" w:after="220" w:line="330" w:lineRule="auto"/>
      </w:pPr>
      <w:r>
        <w:rPr>
          <w:rFonts w:ascii="Calibri" w:hAnsi="Calibri" w:cs="Calibri"/>
          <w:color w:val="6B7570"/>
          <w:sz w:val="18"/>
          <w:szCs w:val="18"/>
        </w:rPr>
        <w:t xml:space="preserve">Electronic or wet signature  ·  Complete only after all schedules are final</w:t>
      </w:r>
    </w:p>
    <w:tbl>
      <w:tblPr>
        <w:tblW w:w="5000" w:type="pc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65"/>
      </w:tblGrid>
      <w:tr>
        <w:tc>
          <w:tcPr>
            <w:tcW w:w="9865" w:type="dxa"/>
            <w:shd w:val="clear" w:color="auto" w:fill="F6F4EF"/>
            <w:tcBorders>
              <w:top w:val="single" w:sz="16" w:space="0" w:color="B4633A"/>
            </w:tcBorders>
            <w:tcMar>
              <w:top w:w="200" w:type="dxa"/>
              <w:left w:w="240" w:type="dxa"/>
              <w:bottom w:w="220" w:type="dxa"/>
              <w:right w:w="240" w:type="dxa"/>
            </w:tcMar>
          </w:tcPr>
          <w:p>
            <w:pPr>
              <w:spacing w:before="0" w:after="60" w:line="330" w:lineRule="auto"/>
            </w:pPr>
            <w:r>
              <w:rPr>
                <w:rFonts w:ascii="Consolas" w:hAnsi="Consolas" w:cs="Consolas"/>
                <w:caps/>
                <w:spacing w:val="16"/>
                <w:color w:val="B4633A"/>
                <w:sz w:val="14"/>
                <w:szCs w:val="14"/>
              </w:rPr>
              <w:t xml:space="preserve">Execution note</w:t>
            </w:r>
          </w:p>
          <w:p>
            <w:pPr>
              <w:spacing w:before="0" w:after="0" w:line="330" w:lineRule="auto"/>
            </w:pPr>
            <w:r>
              <w:rPr>
                <w:rFonts w:ascii="Calibri" w:hAnsi="Calibri" w:cs="Calibri"/>
                <w:color w:val="3B443F"/>
                <w:sz w:val="18"/>
                <w:szCs w:val="18"/>
              </w:rPr>
              <w:t xml:space="preserve">Select the execution block appropriate to each entity. The parties may execute counterparts and use an approved electronic signature platform.</w:t>
            </w:r>
          </w:p>
        </w:tc>
      </w:tr>
    </w:tbl>
    <w:p>
      <w:pPr>
        <w:spacing w:before="0" w:after="180" w:line="330" w:lineRule="auto"/>
      </w:pPr>
    </w:p>
    <w:tbl>
      <w:tblPr>
        <w:tblW w:w="5000" w:type="pc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12"/>
        <w:gridCol w:w="240"/>
        <w:gridCol w:w="4812"/>
      </w:tblGrid>
      <w:tr>
        <w:tc>
          <w:tcPr>
            <w:tcW w:w="4812" w:type="dxa"/>
            <w:tcBorders>
              <w:top w:val="single" w:sz="4" w:space="0" w:color="E2DED6"/>
              <w:bottom w:val="single" w:sz="4" w:space="0" w:color="E2DED6"/>
              <w:left w:val="single" w:sz="4" w:space="0" w:color="E2DED6"/>
              <w:right w:val="single" w:sz="4" w:space="0" w:color="E2DED6"/>
            </w:tcBorders>
            <w:tcMar>
              <w:top w:w="280" w:type="dxa"/>
              <w:left w:w="300" w:type="dxa"/>
              <w:bottom w:w="300" w:type="dxa"/>
              <w:right w:w="300" w:type="dxa"/>
            </w:tcMar>
          </w:tcPr>
          <w:p>
            <w:pPr>
              <w:pBdr>
                <w:bottom w:val="single" w:sz="8" w:space="2" w:color="12352A"/>
              </w:pBdr>
              <w:spacing w:before="0" w:after="140" w:line="330" w:lineRule="auto"/>
            </w:pPr>
            <w:r>
              <w:rPr>
                <w:rFonts w:ascii="Consolas" w:hAnsi="Consolas" w:cs="Consolas"/>
                <w:caps/>
                <w:spacing w:val="14"/>
                <w:color w:val="12352A"/>
                <w:sz w:val="15"/>
                <w:szCs w:val="15"/>
              </w:rPr>
              <w:t xml:space="preserve">Signed for the buyer's agency</w:t>
            </w:r>
          </w:p>
          <w:p>
            <w:pPr>
              <w:spacing w:before="0" w:after="100" w:line="300" w:lineRule="auto"/>
            </w:pPr>
            <w:r>
              <w:rPr>
                <w:rFonts w:ascii="Calibri" w:hAnsi="Calibri" w:cs="Calibri"/>
                <w:color w:val="3B443F"/>
                <w:sz w:val="19"/>
                <w:szCs w:val="19"/>
              </w:rPr>
              <w:t xml:space="preserve">Legal entity: </w:t>
            </w:r>
            <w:r>
              <w:rPr>
                <w:rFonts w:ascii="Consolas" w:hAnsi="Consolas" w:cs="Consolas"/>
                <w:color w:val="8A6A2F"/>
                <w:sz w:val="17"/>
                <w:szCs w:val="17"/>
                <w:shd w:val="clear" w:color="auto" w:fill="FAF3E8"/>
              </w:rPr>
              <w:t xml:space="preserve">&lt;&lt;INSERT&gt;&gt;</w:t>
            </w:r>
          </w:p>
          <w:p>
            <w:pPr>
              <w:spacing w:before="0" w:after="100" w:line="300" w:lineRule="auto"/>
            </w:pPr>
            <w:r>
              <w:rPr>
                <w:rFonts w:ascii="Calibri" w:hAnsi="Calibri" w:cs="Calibri"/>
                <w:color w:val="3B443F"/>
                <w:sz w:val="19"/>
                <w:szCs w:val="19"/>
              </w:rPr>
              <w:t xml:space="preserve">Name of signatory: </w:t>
            </w:r>
            <w:r>
              <w:rPr>
                <w:rFonts w:ascii="Consolas" w:hAnsi="Consolas" w:cs="Consolas"/>
                <w:color w:val="8A6A2F"/>
                <w:sz w:val="17"/>
                <w:szCs w:val="17"/>
                <w:shd w:val="clear" w:color="auto" w:fill="FAF3E8"/>
              </w:rPr>
              <w:t xml:space="preserve">&lt;&lt;INSERT&gt;&gt;</w:t>
            </w:r>
          </w:p>
          <w:p>
            <w:pPr>
              <w:spacing w:before="0" w:after="100" w:line="300" w:lineRule="auto"/>
            </w:pPr>
            <w:r>
              <w:rPr>
                <w:rFonts w:ascii="Calibri" w:hAnsi="Calibri" w:cs="Calibri"/>
                <w:color w:val="3B443F"/>
                <w:sz w:val="19"/>
                <w:szCs w:val="19"/>
              </w:rPr>
              <w:t xml:space="preserve">Title / capacity: </w:t>
            </w:r>
            <w:r>
              <w:rPr>
                <w:rFonts w:ascii="Consolas" w:hAnsi="Consolas" w:cs="Consolas"/>
                <w:color w:val="8A6A2F"/>
                <w:sz w:val="17"/>
                <w:szCs w:val="17"/>
                <w:shd w:val="clear" w:color="auto" w:fill="FAF3E8"/>
              </w:rPr>
              <w:t xml:space="preserve">&lt;&lt;INSERT&gt;&gt;</w:t>
            </w:r>
          </w:p>
          <w:p>
            <w:pPr>
              <w:spacing w:before="0" w:after="100" w:line="300" w:lineRule="auto"/>
            </w:pPr>
            <w:r>
              <w:rPr>
                <w:rFonts w:ascii="Calibri" w:hAnsi="Calibri" w:cs="Calibri"/>
                <w:color w:val="3B443F"/>
                <w:sz w:val="19"/>
                <w:szCs w:val="19"/>
              </w:rPr>
              <w:t xml:space="preserve">Signature:</w:t>
            </w:r>
            <w:r>
              <w:rPr>
                <w:rFonts w:ascii="Calibri" w:hAnsi="Calibri" w:cs="Calibri"/>
                <w:color w:val="B7BEB9"/>
                <w:sz w:val="19"/>
                <w:szCs w:val="19"/>
              </w:rPr>
              <w:t xml:space="preserve"> ______________________________</w:t>
            </w:r>
          </w:p>
          <w:p>
            <w:pPr>
              <w:spacing w:before="0" w:after="100" w:line="300" w:lineRule="auto"/>
            </w:pPr>
            <w:r>
              <w:rPr>
                <w:rFonts w:ascii="Calibri" w:hAnsi="Calibri" w:cs="Calibri"/>
                <w:color w:val="3B443F"/>
                <w:sz w:val="19"/>
                <w:szCs w:val="19"/>
              </w:rPr>
              <w:t xml:space="preserve">Date:</w:t>
            </w:r>
            <w:r>
              <w:rPr>
                <w:rFonts w:ascii="Calibri" w:hAnsi="Calibri" w:cs="Calibri"/>
                <w:color w:val="B7BEB9"/>
                <w:sz w:val="19"/>
                <w:szCs w:val="19"/>
              </w:rPr>
              <w:t xml:space="preserve"> ____ / ____ / ______</w:t>
            </w:r>
          </w:p>
          <w:p>
            <w:pPr>
              <w:spacing w:before="0" w:after="100" w:line="300" w:lineRule="auto"/>
            </w:pPr>
            <w:r>
              <w:rPr>
                <w:rFonts w:ascii="Calibri" w:hAnsi="Calibri" w:cs="Calibri"/>
                <w:color w:val="3B443F"/>
                <w:sz w:val="19"/>
                <w:szCs w:val="19"/>
              </w:rPr>
              <w:t xml:space="preserve">Witness (if required):</w:t>
            </w:r>
            <w:r>
              <w:rPr>
                <w:rFonts w:ascii="Calibri" w:hAnsi="Calibri" w:cs="Calibri"/>
                <w:color w:val="B7BEB9"/>
                <w:sz w:val="19"/>
                <w:szCs w:val="19"/>
              </w:rPr>
              <w:t xml:space="preserve"> __________________</w:t>
            </w:r>
          </w:p>
        </w:tc>
        <w:tc>
          <w:tcPr>
            <w:tcW w:w="240" w:type="dxa"/>
          </w:tcPr>
          <w:p>
            <w:pPr>
              <w:spacing w:before="0" w:after="80" w:line="330" w:lineRule="auto"/>
            </w:pPr>
          </w:p>
        </w:tc>
        <w:tc>
          <w:tcPr>
            <w:tcW w:w="4812" w:type="dxa"/>
            <w:tcBorders>
              <w:top w:val="single" w:sz="4" w:space="0" w:color="E2DED6"/>
              <w:bottom w:val="single" w:sz="4" w:space="0" w:color="E2DED6"/>
              <w:left w:val="single" w:sz="4" w:space="0" w:color="E2DED6"/>
              <w:right w:val="single" w:sz="4" w:space="0" w:color="E2DED6"/>
            </w:tcBorders>
            <w:tcMar>
              <w:top w:w="280" w:type="dxa"/>
              <w:left w:w="300" w:type="dxa"/>
              <w:bottom w:w="300" w:type="dxa"/>
              <w:right w:w="300" w:type="dxa"/>
            </w:tcMar>
          </w:tcPr>
          <w:p>
            <w:pPr>
              <w:pBdr>
                <w:bottom w:val="single" w:sz="8" w:space="2" w:color="12352A"/>
              </w:pBdr>
              <w:spacing w:before="0" w:after="140" w:line="330" w:lineRule="auto"/>
            </w:pPr>
            <w:r>
              <w:rPr>
                <w:rFonts w:ascii="Consolas" w:hAnsi="Consolas" w:cs="Consolas"/>
                <w:caps/>
                <w:spacing w:val="14"/>
                <w:color w:val="12352A"/>
                <w:sz w:val="15"/>
                <w:szCs w:val="15"/>
              </w:rPr>
              <w:t xml:space="preserve">Signed for the finance partner</w:t>
            </w:r>
          </w:p>
          <w:p>
            <w:pPr>
              <w:spacing w:before="0" w:after="100" w:line="300" w:lineRule="auto"/>
            </w:pPr>
            <w:r>
              <w:rPr>
                <w:rFonts w:ascii="Calibri" w:hAnsi="Calibri" w:cs="Calibri"/>
                <w:color w:val="3B443F"/>
                <w:sz w:val="19"/>
                <w:szCs w:val="19"/>
              </w:rPr>
              <w:t xml:space="preserve">Legal entity: </w:t>
            </w:r>
            <w:r>
              <w:rPr>
                <w:rFonts w:ascii="Consolas" w:hAnsi="Consolas" w:cs="Consolas"/>
                <w:color w:val="8A6A2F"/>
                <w:sz w:val="17"/>
                <w:szCs w:val="17"/>
                <w:shd w:val="clear" w:color="auto" w:fill="FAF3E8"/>
              </w:rPr>
              <w:t xml:space="preserve">&lt;&lt;INSERT&gt;&gt;</w:t>
            </w:r>
          </w:p>
          <w:p>
            <w:pPr>
              <w:spacing w:before="0" w:after="100" w:line="300" w:lineRule="auto"/>
            </w:pPr>
            <w:r>
              <w:rPr>
                <w:rFonts w:ascii="Calibri" w:hAnsi="Calibri" w:cs="Calibri"/>
                <w:color w:val="3B443F"/>
                <w:sz w:val="19"/>
                <w:szCs w:val="19"/>
              </w:rPr>
              <w:t xml:space="preserve">Name of signatory: </w:t>
            </w:r>
            <w:r>
              <w:rPr>
                <w:rFonts w:ascii="Consolas" w:hAnsi="Consolas" w:cs="Consolas"/>
                <w:color w:val="8A6A2F"/>
                <w:sz w:val="17"/>
                <w:szCs w:val="17"/>
                <w:shd w:val="clear" w:color="auto" w:fill="FAF3E8"/>
              </w:rPr>
              <w:t xml:space="preserve">&lt;&lt;INSERT&gt;&gt;</w:t>
            </w:r>
          </w:p>
          <w:p>
            <w:pPr>
              <w:spacing w:before="0" w:after="100" w:line="300" w:lineRule="auto"/>
            </w:pPr>
            <w:r>
              <w:rPr>
                <w:rFonts w:ascii="Calibri" w:hAnsi="Calibri" w:cs="Calibri"/>
                <w:color w:val="3B443F"/>
                <w:sz w:val="19"/>
                <w:szCs w:val="19"/>
              </w:rPr>
              <w:t xml:space="preserve">Title / capacity: </w:t>
            </w:r>
            <w:r>
              <w:rPr>
                <w:rFonts w:ascii="Consolas" w:hAnsi="Consolas" w:cs="Consolas"/>
                <w:color w:val="8A6A2F"/>
                <w:sz w:val="17"/>
                <w:szCs w:val="17"/>
                <w:shd w:val="clear" w:color="auto" w:fill="FAF3E8"/>
              </w:rPr>
              <w:t xml:space="preserve">&lt;&lt;INSERT&gt;&gt;</w:t>
            </w:r>
          </w:p>
          <w:p>
            <w:pPr>
              <w:spacing w:before="0" w:after="100" w:line="300" w:lineRule="auto"/>
            </w:pPr>
            <w:r>
              <w:rPr>
                <w:rFonts w:ascii="Calibri" w:hAnsi="Calibri" w:cs="Calibri"/>
                <w:color w:val="3B443F"/>
                <w:sz w:val="19"/>
                <w:szCs w:val="19"/>
              </w:rPr>
              <w:t xml:space="preserve">Signature:</w:t>
            </w:r>
            <w:r>
              <w:rPr>
                <w:rFonts w:ascii="Calibri" w:hAnsi="Calibri" w:cs="Calibri"/>
                <w:color w:val="B7BEB9"/>
                <w:sz w:val="19"/>
                <w:szCs w:val="19"/>
              </w:rPr>
              <w:t xml:space="preserve"> ______________________________</w:t>
            </w:r>
          </w:p>
          <w:p>
            <w:pPr>
              <w:spacing w:before="0" w:after="100" w:line="300" w:lineRule="auto"/>
            </w:pPr>
            <w:r>
              <w:rPr>
                <w:rFonts w:ascii="Calibri" w:hAnsi="Calibri" w:cs="Calibri"/>
                <w:color w:val="3B443F"/>
                <w:sz w:val="19"/>
                <w:szCs w:val="19"/>
              </w:rPr>
              <w:t xml:space="preserve">Date:</w:t>
            </w:r>
            <w:r>
              <w:rPr>
                <w:rFonts w:ascii="Calibri" w:hAnsi="Calibri" w:cs="Calibri"/>
                <w:color w:val="B7BEB9"/>
                <w:sz w:val="19"/>
                <w:szCs w:val="19"/>
              </w:rPr>
              <w:t xml:space="preserve"> ____ / ____ / ______</w:t>
            </w:r>
          </w:p>
          <w:p>
            <w:pPr>
              <w:spacing w:before="0" w:after="100" w:line="300" w:lineRule="auto"/>
            </w:pPr>
            <w:r>
              <w:rPr>
                <w:rFonts w:ascii="Calibri" w:hAnsi="Calibri" w:cs="Calibri"/>
                <w:color w:val="3B443F"/>
                <w:sz w:val="19"/>
                <w:szCs w:val="19"/>
              </w:rPr>
              <w:t xml:space="preserve">Witness (if required):</w:t>
            </w:r>
            <w:r>
              <w:rPr>
                <w:rFonts w:ascii="Calibri" w:hAnsi="Calibri" w:cs="Calibri"/>
                <w:color w:val="B7BEB9"/>
                <w:sz w:val="19"/>
                <w:szCs w:val="19"/>
              </w:rPr>
              <w:t xml:space="preserve"> __________________</w:t>
            </w:r>
          </w:p>
        </w:tc>
      </w:tr>
    </w:tbl>
    <w:p>
      <w:pPr>
        <w:spacing w:before="0" w:after="140" w:line="330" w:lineRule="auto"/>
      </w:pPr>
    </w:p>
    <w:p>
      <w:pPr>
        <w:pBdr>
          <w:top w:val="single" w:sz="12" w:space="2" w:color="12352A"/>
        </w:pBdr>
        <w:spacing w:before="180" w:after="40" w:line="330" w:lineRule="auto"/>
      </w:pPr>
      <w:r>
        <w:rPr>
          <w:rFonts w:ascii="Calibri" w:hAnsi="Calibri" w:cs="Calibri"/>
          <w:b/>
          <w:color w:val="12352A"/>
          <w:sz w:val="19"/>
          <w:szCs w:val="19"/>
        </w:rPr>
        <w:t xml:space="preserve">Optional company execution under section 127 of the Corporations Act 2001 (Cth):</w:t>
      </w:r>
    </w:p>
    <w:p>
      <w:pPr>
        <w:spacing w:before="0" w:after="180" w:line="330" w:lineRule="auto"/>
      </w:pPr>
      <w:r>
        <w:rPr>
          <w:rFonts w:ascii="Calibri" w:hAnsi="Calibri" w:cs="Calibri"/>
          <w:color w:val="6B7570"/>
          <w:sz w:val="18"/>
          <w:szCs w:val="18"/>
        </w:rPr>
        <w:t xml:space="preserve">Use the block below only where it is appropriate for the executing entity and approved by the relevant advisers.</w:t>
      </w:r>
    </w:p>
    <w:tbl>
      <w:tblPr>
        <w:tblW w:w="5000" w:type="pc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69"/>
        <w:gridCol w:w="2664"/>
        <w:gridCol w:w="2269"/>
        <w:gridCol w:w="2664"/>
      </w:tblGrid>
      <w:tr>
        <w:tc>
          <w:tcPr>
            <w:tcW w:w="2269" w:type="dxa"/>
            <w:tcBorders>
              <w:top w:val="single" w:sz="4" w:space="0" w:color="E2DED6"/>
              <w:bottom w:val="single" w:sz="4" w:space="0" w:color="E2DED6"/>
            </w:tcBorders>
            <w:tcMar>
              <w:top w:w="200" w:type="dxa"/>
              <w:left w:w="0" w:type="dxa"/>
              <w:bottom w:w="200" w:type="dxa"/>
              <w:right w:w="180" w:type="dxa"/>
            </w:tcMar>
          </w:tcPr>
          <w:p>
            <w:pPr>
              <w:spacing w:before="0" w:after="0" w:line="330" w:lineRule="auto"/>
            </w:pPr>
            <w:r>
              <w:rPr>
                <w:rFonts w:ascii="Consolas" w:hAnsi="Consolas" w:cs="Consolas"/>
                <w:caps/>
                <w:spacing w:val="12"/>
                <w:color w:val="12352A"/>
                <w:sz w:val="14"/>
                <w:szCs w:val="14"/>
              </w:rPr>
              <w:t xml:space="preserve">Director / sole director</w:t>
            </w:r>
          </w:p>
        </w:tc>
        <w:tc>
          <w:tcPr>
            <w:tcW w:w="2664" w:type="dxa"/>
            <w:tcBorders>
              <w:top w:val="single" w:sz="4" w:space="0" w:color="E2DED6"/>
              <w:bottom w:val="single" w:sz="4" w:space="0" w:color="E2DED6"/>
            </w:tcBorders>
            <w:tcMar>
              <w:top w:w="200" w:type="dxa"/>
              <w:left w:w="0" w:type="dxa"/>
              <w:bottom w:w="200" w:type="dxa"/>
              <w:right w:w="260" w:type="dxa"/>
            </w:tcMar>
          </w:tcPr>
          <w:p>
            <w:pPr>
              <w:spacing w:before="0" w:after="0" w:line="330" w:lineRule="auto"/>
            </w:pPr>
            <w:r>
              <w:rPr>
                <w:rFonts w:ascii="Consolas" w:hAnsi="Consolas" w:cs="Consolas"/>
                <w:color w:val="8A6A2F"/>
                <w:sz w:val="17"/>
                <w:szCs w:val="17"/>
                <w:shd w:val="clear" w:color="auto" w:fill="FAF3E8"/>
              </w:rPr>
              <w:t xml:space="preserve">&lt;&lt;NAME AND SIGNATURE&gt;&gt;</w:t>
            </w:r>
          </w:p>
        </w:tc>
        <w:tc>
          <w:tcPr>
            <w:tcW w:w="2269" w:type="dxa"/>
            <w:tcBorders>
              <w:top w:val="single" w:sz="4" w:space="0" w:color="E2DED6"/>
              <w:bottom w:val="single" w:sz="4" w:space="0" w:color="E2DED6"/>
            </w:tcBorders>
            <w:tcMar>
              <w:top w:w="200" w:type="dxa"/>
              <w:left w:w="0" w:type="dxa"/>
              <w:bottom w:w="200" w:type="dxa"/>
              <w:right w:w="180" w:type="dxa"/>
            </w:tcMar>
          </w:tcPr>
          <w:p>
            <w:pPr>
              <w:spacing w:before="0" w:after="0" w:line="330" w:lineRule="auto"/>
            </w:pPr>
            <w:r>
              <w:rPr>
                <w:rFonts w:ascii="Consolas" w:hAnsi="Consolas" w:cs="Consolas"/>
                <w:caps/>
                <w:spacing w:val="12"/>
                <w:color w:val="12352A"/>
                <w:sz w:val="14"/>
                <w:szCs w:val="14"/>
              </w:rPr>
              <w:t xml:space="preserve">Director / company secretary</w:t>
            </w:r>
          </w:p>
        </w:tc>
        <w:tc>
          <w:tcPr>
            <w:tcW w:w="2664" w:type="dxa"/>
            <w:tcBorders>
              <w:top w:val="single" w:sz="4" w:space="0" w:color="E2DED6"/>
              <w:bottom w:val="single" w:sz="4" w:space="0" w:color="E2DED6"/>
            </w:tcBorders>
            <w:tcMar>
              <w:top w:w="200" w:type="dxa"/>
              <w:left w:w="0" w:type="dxa"/>
              <w:bottom w:w="200" w:type="dxa"/>
              <w:right w:w="0" w:type="dxa"/>
            </w:tcMar>
          </w:tcPr>
          <w:p>
            <w:pPr>
              <w:spacing w:before="0" w:after="0" w:line="330" w:lineRule="auto"/>
            </w:pPr>
            <w:r>
              <w:rPr>
                <w:rFonts w:ascii="Consolas" w:hAnsi="Consolas" w:cs="Consolas"/>
                <w:color w:val="8A6A2F"/>
                <w:sz w:val="17"/>
                <w:szCs w:val="17"/>
                <w:shd w:val="clear" w:color="auto" w:fill="FAF3E8"/>
              </w:rPr>
              <w:t xml:space="preserve">&lt;&lt;NAME AND SIGNATURE OR N/A&gt;&gt;</w:t>
            </w:r>
          </w:p>
        </w:tc>
      </w:tr>
    </w:tbl>
    <w:p>
      <w:pPr>
        <w:pageBreakBefore/>
        <w:keepNext/>
        <w:spacing w:before="0" w:after="40" w:line="330" w:lineRule="auto"/>
      </w:pPr>
      <w:r>
        <w:rPr>
          <w:rFonts w:ascii="Consolas" w:hAnsi="Consolas" w:cs="Consolas"/>
          <w:spacing w:val="10"/>
          <w:color w:val="B4633A"/>
          <w:sz w:val="18"/>
          <w:szCs w:val="18"/>
        </w:rPr>
        <w:t xml:space="preserve">A</w:t>
      </w:r>
    </w:p>
    <w:p>
      <w:pPr>
        <w:keepNext/>
        <w:spacing w:before="0" w:after="60" w:line="240" w:lineRule="auto"/>
      </w:pPr>
      <w:r>
        <w:rPr>
          <w:rFonts w:ascii="Georgia" w:hAnsi="Georgia" w:cs="Georgia"/>
          <w:color w:val="12352A"/>
          <w:sz w:val="52"/>
          <w:szCs w:val="52"/>
        </w:rPr>
        <w:t xml:space="preserve">Referral Registration Form</w:t>
      </w:r>
    </w:p>
    <w:p>
      <w:pPr>
        <w:keepNext/>
        <w:pBdr>
          <w:bottom w:val="single" w:sz="12" w:space="2" w:color="12352A"/>
        </w:pBdr>
        <w:spacing w:before="0" w:after="220" w:line="330" w:lineRule="auto"/>
      </w:pPr>
      <w:r>
        <w:rPr>
          <w:rFonts w:ascii="Calibri" w:hAnsi="Calibri" w:cs="Calibri"/>
          <w:color w:val="6B7570"/>
          <w:sz w:val="18"/>
          <w:szCs w:val="18"/>
        </w:rPr>
        <w:t xml:space="preserve">Finance partner to buyer's agency  ·  Secure referral and activation record</w:t>
      </w:r>
    </w:p>
    <w:tbl>
      <w:tblPr>
        <w:tblW w:w="5000" w:type="pc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69"/>
        <w:gridCol w:w="2664"/>
        <w:gridCol w:w="2269"/>
        <w:gridCol w:w="2664"/>
      </w:tblGrid>
      <w:tr>
        <w:tc>
          <w:tcPr>
            <w:tcW w:w="2269" w:type="dxa"/>
            <w:tcBorders>
              <w:top w:val="single" w:sz="4" w:space="0" w:color="E2DED6"/>
            </w:tcBorders>
            <w:tcMar>
              <w:top w:w="200" w:type="dxa"/>
              <w:left w:w="0" w:type="dxa"/>
              <w:bottom w:w="200" w:type="dxa"/>
              <w:right w:w="180" w:type="dxa"/>
            </w:tcMar>
          </w:tcPr>
          <w:p>
            <w:pPr>
              <w:spacing w:before="0" w:after="0" w:line="330" w:lineRule="auto"/>
            </w:pPr>
            <w:r>
              <w:rPr>
                <w:rFonts w:ascii="Consolas" w:hAnsi="Consolas" w:cs="Consolas"/>
                <w:caps/>
                <w:spacing w:val="12"/>
                <w:color w:val="12352A"/>
                <w:sz w:val="14"/>
                <w:szCs w:val="14"/>
              </w:rPr>
              <w:t xml:space="preserve">Referral ID</w:t>
            </w:r>
          </w:p>
        </w:tc>
        <w:tc>
          <w:tcPr>
            <w:tcW w:w="2664" w:type="dxa"/>
            <w:tcBorders>
              <w:top w:val="single" w:sz="4" w:space="0" w:color="E2DED6"/>
            </w:tcBorders>
            <w:tcMar>
              <w:top w:w="200" w:type="dxa"/>
              <w:left w:w="0" w:type="dxa"/>
              <w:bottom w:w="200" w:type="dxa"/>
              <w:right w:w="260" w:type="dxa"/>
            </w:tcMar>
          </w:tcPr>
          <w:p>
            <w:pPr>
              <w:spacing w:before="0" w:after="0" w:line="330" w:lineRule="auto"/>
            </w:pPr>
            <w:r>
              <w:rPr>
                <w:rFonts w:ascii="Consolas" w:hAnsi="Consolas" w:cs="Consolas"/>
                <w:color w:val="8A6A2F"/>
                <w:sz w:val="17"/>
                <w:szCs w:val="17"/>
                <w:shd w:val="clear" w:color="auto" w:fill="FAF3E8"/>
              </w:rPr>
              <w:t xml:space="preserve">&lt;&lt;AUTO-GENERATED OR INSERT&gt;&gt;</w:t>
            </w:r>
          </w:p>
        </w:tc>
        <w:tc>
          <w:tcPr>
            <w:tcW w:w="2269" w:type="dxa"/>
            <w:tcBorders>
              <w:top w:val="single" w:sz="4" w:space="0" w:color="E2DED6"/>
            </w:tcBorders>
            <w:tcMar>
              <w:top w:w="200" w:type="dxa"/>
              <w:left w:w="0" w:type="dxa"/>
              <w:bottom w:w="200" w:type="dxa"/>
              <w:right w:w="180" w:type="dxa"/>
            </w:tcMar>
          </w:tcPr>
          <w:p>
            <w:pPr>
              <w:spacing w:before="0" w:after="0" w:line="330" w:lineRule="auto"/>
            </w:pPr>
            <w:r>
              <w:rPr>
                <w:rFonts w:ascii="Consolas" w:hAnsi="Consolas" w:cs="Consolas"/>
                <w:caps/>
                <w:spacing w:val="12"/>
                <w:color w:val="12352A"/>
                <w:sz w:val="14"/>
                <w:szCs w:val="14"/>
              </w:rPr>
              <w:t xml:space="preserve">Referral date</w:t>
            </w:r>
          </w:p>
        </w:tc>
        <w:tc>
          <w:tcPr>
            <w:tcW w:w="2664" w:type="dxa"/>
            <w:tcBorders>
              <w:top w:val="single" w:sz="4" w:space="0" w:color="E2DED6"/>
            </w:tcBorders>
            <w:tcMar>
              <w:top w:w="200" w:type="dxa"/>
              <w:left w:w="0" w:type="dxa"/>
              <w:bottom w:w="200" w:type="dxa"/>
              <w:right w:w="0" w:type="dxa"/>
            </w:tcMar>
          </w:tcPr>
          <w:p>
            <w:pPr>
              <w:spacing w:before="0" w:after="0" w:line="330" w:lineRule="auto"/>
            </w:pPr>
            <w:r>
              <w:rPr>
                <w:rFonts w:ascii="Consolas" w:hAnsi="Consolas" w:cs="Consolas"/>
                <w:color w:val="8A6A2F"/>
                <w:sz w:val="17"/>
                <w:szCs w:val="17"/>
                <w:shd w:val="clear" w:color="auto" w:fill="FAF3E8"/>
              </w:rPr>
              <w:t xml:space="preserve">&lt;&lt;DATE&gt;&gt;</w:t>
            </w:r>
          </w:p>
        </w:tc>
      </w:tr>
      <w:tr>
        <w:tc>
          <w:tcPr>
            <w:tcW w:w="2269" w:type="dxa"/>
            <w:tcBorders>
              <w:top w:val="single" w:sz="4" w:space="0" w:color="EDEAE3"/>
            </w:tcBorders>
            <w:tcMar>
              <w:top w:w="200" w:type="dxa"/>
              <w:left w:w="0" w:type="dxa"/>
              <w:bottom w:w="200" w:type="dxa"/>
              <w:right w:w="180" w:type="dxa"/>
            </w:tcMar>
          </w:tcPr>
          <w:p>
            <w:pPr>
              <w:spacing w:before="0" w:after="0" w:line="330" w:lineRule="auto"/>
            </w:pPr>
            <w:r>
              <w:rPr>
                <w:rFonts w:ascii="Consolas" w:hAnsi="Consolas" w:cs="Consolas"/>
                <w:caps/>
                <w:spacing w:val="12"/>
                <w:color w:val="12352A"/>
                <w:sz w:val="14"/>
                <w:szCs w:val="14"/>
              </w:rPr>
              <w:t xml:space="preserve">Finance partner</w:t>
            </w:r>
          </w:p>
        </w:tc>
        <w:tc>
          <w:tcPr>
            <w:tcW w:w="2664" w:type="dxa"/>
            <w:tcBorders>
              <w:top w:val="single" w:sz="4" w:space="0" w:color="EDEAE3"/>
            </w:tcBorders>
            <w:tcMar>
              <w:top w:w="200" w:type="dxa"/>
              <w:left w:w="0" w:type="dxa"/>
              <w:bottom w:w="200" w:type="dxa"/>
              <w:right w:w="260" w:type="dxa"/>
            </w:tcMar>
          </w:tcPr>
          <w:p>
            <w:pPr>
              <w:spacing w:before="0" w:after="0" w:line="330" w:lineRule="auto"/>
            </w:pPr>
            <w:r>
              <w:rPr>
                <w:rFonts w:ascii="Consolas" w:hAnsi="Consolas" w:cs="Consolas"/>
                <w:color w:val="8A6A2F"/>
                <w:sz w:val="17"/>
                <w:szCs w:val="17"/>
                <w:shd w:val="clear" w:color="auto" w:fill="FAF3E8"/>
              </w:rPr>
              <w:t xml:space="preserve">&lt;&lt;LEGAL / TRADING NAME&gt;&gt;</w:t>
            </w:r>
          </w:p>
        </w:tc>
        <w:tc>
          <w:tcPr>
            <w:tcW w:w="2269" w:type="dxa"/>
            <w:tcBorders>
              <w:top w:val="single" w:sz="4" w:space="0" w:color="EDEAE3"/>
            </w:tcBorders>
            <w:tcMar>
              <w:top w:w="200" w:type="dxa"/>
              <w:left w:w="0" w:type="dxa"/>
              <w:bottom w:w="200" w:type="dxa"/>
              <w:right w:w="180" w:type="dxa"/>
            </w:tcMar>
          </w:tcPr>
          <w:p>
            <w:pPr>
              <w:spacing w:before="0" w:after="0" w:line="330" w:lineRule="auto"/>
            </w:pPr>
            <w:r>
              <w:rPr>
                <w:rFonts w:ascii="Consolas" w:hAnsi="Consolas" w:cs="Consolas"/>
                <w:caps/>
                <w:spacing w:val="12"/>
                <w:color w:val="12352A"/>
                <w:sz w:val="14"/>
                <w:szCs w:val="14"/>
              </w:rPr>
              <w:t xml:space="preserve">Referring adviser</w:t>
            </w:r>
          </w:p>
        </w:tc>
        <w:tc>
          <w:tcPr>
            <w:tcW w:w="2664" w:type="dxa"/>
            <w:tcBorders>
              <w:top w:val="single" w:sz="4" w:space="0" w:color="EDEAE3"/>
            </w:tcBorders>
            <w:tcMar>
              <w:top w:w="200" w:type="dxa"/>
              <w:left w:w="0" w:type="dxa"/>
              <w:bottom w:w="200" w:type="dxa"/>
              <w:right w:w="0" w:type="dxa"/>
            </w:tcMar>
          </w:tcPr>
          <w:p>
            <w:pPr>
              <w:spacing w:before="0" w:after="0" w:line="330" w:lineRule="auto"/>
            </w:pPr>
            <w:r>
              <w:rPr>
                <w:rFonts w:ascii="Consolas" w:hAnsi="Consolas" w:cs="Consolas"/>
                <w:color w:val="8A6A2F"/>
                <w:sz w:val="17"/>
                <w:szCs w:val="17"/>
                <w:shd w:val="clear" w:color="auto" w:fill="FAF3E8"/>
              </w:rPr>
              <w:t xml:space="preserve">&lt;&lt;NAME AND CRN IF APPLICABLE&gt;&gt;</w:t>
            </w:r>
          </w:p>
        </w:tc>
      </w:tr>
      <w:tr>
        <w:tc>
          <w:tcPr>
            <w:tcW w:w="2269" w:type="dxa"/>
            <w:tcBorders>
              <w:top w:val="single" w:sz="4" w:space="0" w:color="EDEAE3"/>
            </w:tcBorders>
            <w:tcMar>
              <w:top w:w="200" w:type="dxa"/>
              <w:left w:w="0" w:type="dxa"/>
              <w:bottom w:w="200" w:type="dxa"/>
              <w:right w:w="180" w:type="dxa"/>
            </w:tcMar>
          </w:tcPr>
          <w:p>
            <w:pPr>
              <w:spacing w:before="0" w:after="0" w:line="330" w:lineRule="auto"/>
            </w:pPr>
            <w:r>
              <w:rPr>
                <w:rFonts w:ascii="Consolas" w:hAnsi="Consolas" w:cs="Consolas"/>
                <w:caps/>
                <w:spacing w:val="12"/>
                <w:color w:val="12352A"/>
                <w:sz w:val="14"/>
                <w:szCs w:val="14"/>
              </w:rPr>
              <w:t xml:space="preserve">Client name</w:t>
            </w:r>
          </w:p>
        </w:tc>
        <w:tc>
          <w:tcPr>
            <w:tcW w:w="2664" w:type="dxa"/>
            <w:tcBorders>
              <w:top w:val="single" w:sz="4" w:space="0" w:color="EDEAE3"/>
            </w:tcBorders>
            <w:tcMar>
              <w:top w:w="200" w:type="dxa"/>
              <w:left w:w="0" w:type="dxa"/>
              <w:bottom w:w="200" w:type="dxa"/>
              <w:right w:w="260" w:type="dxa"/>
            </w:tcMar>
          </w:tcPr>
          <w:p>
            <w:pPr>
              <w:spacing w:before="0" w:after="0" w:line="330" w:lineRule="auto"/>
            </w:pPr>
            <w:r>
              <w:rPr>
                <w:rFonts w:ascii="Consolas" w:hAnsi="Consolas" w:cs="Consolas"/>
                <w:color w:val="8A6A2F"/>
                <w:sz w:val="17"/>
                <w:szCs w:val="17"/>
                <w:shd w:val="clear" w:color="auto" w:fill="FAF3E8"/>
              </w:rPr>
              <w:t xml:space="preserve">&lt;&lt;CLIENT NAME&gt;&gt;</w:t>
            </w:r>
          </w:p>
        </w:tc>
        <w:tc>
          <w:tcPr>
            <w:tcW w:w="2269" w:type="dxa"/>
            <w:tcBorders>
              <w:top w:val="single" w:sz="4" w:space="0" w:color="EDEAE3"/>
            </w:tcBorders>
            <w:tcMar>
              <w:top w:w="200" w:type="dxa"/>
              <w:left w:w="0" w:type="dxa"/>
              <w:bottom w:w="200" w:type="dxa"/>
              <w:right w:w="180" w:type="dxa"/>
            </w:tcMar>
          </w:tcPr>
          <w:p>
            <w:pPr>
              <w:spacing w:before="0" w:after="0" w:line="330" w:lineRule="auto"/>
            </w:pPr>
            <w:r>
              <w:rPr>
                <w:rFonts w:ascii="Consolas" w:hAnsi="Consolas" w:cs="Consolas"/>
                <w:caps/>
                <w:spacing w:val="12"/>
                <w:color w:val="12352A"/>
                <w:sz w:val="14"/>
                <w:szCs w:val="14"/>
              </w:rPr>
              <w:t xml:space="preserve">Client contact details</w:t>
            </w:r>
          </w:p>
        </w:tc>
        <w:tc>
          <w:tcPr>
            <w:tcW w:w="2664" w:type="dxa"/>
            <w:tcBorders>
              <w:top w:val="single" w:sz="4" w:space="0" w:color="EDEAE3"/>
            </w:tcBorders>
            <w:tcMar>
              <w:top w:w="200" w:type="dxa"/>
              <w:left w:w="0" w:type="dxa"/>
              <w:bottom w:w="200" w:type="dxa"/>
              <w:right w:w="0" w:type="dxa"/>
            </w:tcMar>
          </w:tcPr>
          <w:p>
            <w:pPr>
              <w:spacing w:before="0" w:after="0" w:line="330" w:lineRule="auto"/>
            </w:pPr>
            <w:r>
              <w:rPr>
                <w:rFonts w:ascii="Consolas" w:hAnsi="Consolas" w:cs="Consolas"/>
                <w:color w:val="8A6A2F"/>
                <w:sz w:val="17"/>
                <w:szCs w:val="17"/>
                <w:shd w:val="clear" w:color="auto" w:fill="FAF3E8"/>
              </w:rPr>
              <w:t xml:space="preserve">&lt;&lt;PHONE AND EMAIL&gt;&gt;</w:t>
            </w:r>
          </w:p>
        </w:tc>
      </w:tr>
      <w:tr>
        <w:tc>
          <w:tcPr>
            <w:tcW w:w="2269" w:type="dxa"/>
            <w:tcBorders>
              <w:top w:val="single" w:sz="4" w:space="0" w:color="EDEAE3"/>
            </w:tcBorders>
            <w:tcMar>
              <w:top w:w="200" w:type="dxa"/>
              <w:left w:w="0" w:type="dxa"/>
              <w:bottom w:w="200" w:type="dxa"/>
              <w:right w:w="180" w:type="dxa"/>
            </w:tcMar>
          </w:tcPr>
          <w:p>
            <w:pPr>
              <w:spacing w:before="0" w:after="0" w:line="330" w:lineRule="auto"/>
            </w:pPr>
            <w:r>
              <w:rPr>
                <w:rFonts w:ascii="Consolas" w:hAnsi="Consolas" w:cs="Consolas"/>
                <w:caps/>
                <w:spacing w:val="12"/>
                <w:color w:val="12352A"/>
                <w:sz w:val="14"/>
                <w:szCs w:val="14"/>
              </w:rPr>
              <w:t xml:space="preserve">General property requirement</w:t>
            </w:r>
          </w:p>
        </w:tc>
        <w:tc>
          <w:tcPr>
            <w:tcW w:w="2664" w:type="dxa"/>
            <w:tcBorders>
              <w:top w:val="single" w:sz="4" w:space="0" w:color="EDEAE3"/>
            </w:tcBorders>
            <w:tcMar>
              <w:top w:w="200" w:type="dxa"/>
              <w:left w:w="0" w:type="dxa"/>
              <w:bottom w:w="200" w:type="dxa"/>
              <w:right w:w="260" w:type="dxa"/>
            </w:tcMar>
          </w:tcPr>
          <w:p>
            <w:pPr>
              <w:spacing w:before="0" w:after="0" w:line="330" w:lineRule="auto"/>
            </w:pPr>
            <w:r>
              <w:rPr>
                <w:rFonts w:ascii="Consolas" w:hAnsi="Consolas" w:cs="Consolas"/>
                <w:color w:val="8A6A2F"/>
                <w:sz w:val="17"/>
                <w:szCs w:val="17"/>
                <w:shd w:val="clear" w:color="auto" w:fill="FAF3E8"/>
              </w:rPr>
              <w:t xml:space="preserve">&lt;&lt;OWNER-OCCUPIED / INVESTMENT / OTHER&gt;&gt;</w:t>
            </w:r>
          </w:p>
        </w:tc>
        <w:tc>
          <w:tcPr>
            <w:tcW w:w="2269" w:type="dxa"/>
            <w:tcBorders>
              <w:top w:val="single" w:sz="4" w:space="0" w:color="EDEAE3"/>
            </w:tcBorders>
            <w:tcMar>
              <w:top w:w="200" w:type="dxa"/>
              <w:left w:w="0" w:type="dxa"/>
              <w:bottom w:w="200" w:type="dxa"/>
              <w:right w:w="180" w:type="dxa"/>
            </w:tcMar>
          </w:tcPr>
          <w:p>
            <w:pPr>
              <w:spacing w:before="0" w:after="0" w:line="330" w:lineRule="auto"/>
            </w:pPr>
            <w:r>
              <w:rPr>
                <w:rFonts w:ascii="Consolas" w:hAnsi="Consolas" w:cs="Consolas"/>
                <w:caps/>
                <w:spacing w:val="12"/>
                <w:color w:val="12352A"/>
                <w:sz w:val="14"/>
                <w:szCs w:val="14"/>
              </w:rPr>
              <w:t xml:space="preserve">Estimated timing</w:t>
            </w:r>
          </w:p>
        </w:tc>
        <w:tc>
          <w:tcPr>
            <w:tcW w:w="2664" w:type="dxa"/>
            <w:tcBorders>
              <w:top w:val="single" w:sz="4" w:space="0" w:color="EDEAE3"/>
            </w:tcBorders>
            <w:tcMar>
              <w:top w:w="200" w:type="dxa"/>
              <w:left w:w="0" w:type="dxa"/>
              <w:bottom w:w="200" w:type="dxa"/>
              <w:right w:w="0" w:type="dxa"/>
            </w:tcMar>
          </w:tcPr>
          <w:p>
            <w:pPr>
              <w:spacing w:before="0" w:after="0" w:line="330" w:lineRule="auto"/>
            </w:pPr>
            <w:r>
              <w:rPr>
                <w:rFonts w:ascii="Consolas" w:hAnsi="Consolas" w:cs="Consolas"/>
                <w:color w:val="8A6A2F"/>
                <w:sz w:val="17"/>
                <w:szCs w:val="17"/>
                <w:shd w:val="clear" w:color="auto" w:fill="FAF3E8"/>
              </w:rPr>
              <w:t xml:space="preserve">&lt;&lt;INSERT&gt;&gt;</w:t>
            </w:r>
          </w:p>
        </w:tc>
      </w:tr>
      <w:tr>
        <w:tc>
          <w:tcPr>
            <w:tcW w:w="2269" w:type="dxa"/>
            <w:tcBorders>
              <w:top w:val="single" w:sz="4" w:space="0" w:color="EDEAE3"/>
            </w:tcBorders>
            <w:tcMar>
              <w:top w:w="200" w:type="dxa"/>
              <w:left w:w="0" w:type="dxa"/>
              <w:bottom w:w="200" w:type="dxa"/>
              <w:right w:w="180" w:type="dxa"/>
            </w:tcMar>
          </w:tcPr>
          <w:p>
            <w:pPr>
              <w:spacing w:before="0" w:after="0" w:line="330" w:lineRule="auto"/>
            </w:pPr>
            <w:r>
              <w:rPr>
                <w:rFonts w:ascii="Consolas" w:hAnsi="Consolas" w:cs="Consolas"/>
                <w:caps/>
                <w:spacing w:val="12"/>
                <w:color w:val="12352A"/>
                <w:sz w:val="14"/>
                <w:szCs w:val="14"/>
              </w:rPr>
              <w:t xml:space="preserve">Consent obtained</w:t>
            </w:r>
          </w:p>
        </w:tc>
        <w:tc>
          <w:tcPr>
            <w:tcW w:w="2664" w:type="dxa"/>
            <w:tcBorders>
              <w:top w:val="single" w:sz="4" w:space="0" w:color="EDEAE3"/>
            </w:tcBorders>
            <w:tcMar>
              <w:top w:w="200" w:type="dxa"/>
              <w:left w:w="0" w:type="dxa"/>
              <w:bottom w:w="200" w:type="dxa"/>
              <w:right w:w="260" w:type="dxa"/>
            </w:tcMar>
          </w:tcPr>
          <w:p>
            <w:pPr>
              <w:spacing w:before="0" w:after="0" w:line="330" w:lineRule="auto"/>
            </w:pPr>
            <w:r>
              <w:rPr>
                <w:rFonts w:ascii="Calibri" w:hAnsi="Calibri" w:cs="Calibri"/>
                <w:color w:val="242B27"/>
                <w:sz w:val="19"/>
                <w:szCs w:val="19"/>
              </w:rPr>
              <w:t xml:space="preserve">☐  Yes</w:t>
            </w:r>
          </w:p>
          <w:p>
            <w:pPr>
              <w:spacing w:before="0" w:after="0" w:line="330" w:lineRule="auto"/>
            </w:pPr>
            <w:r>
              <w:rPr>
                <w:rFonts w:ascii="Calibri" w:hAnsi="Calibri" w:cs="Calibri"/>
                <w:color w:val="242B27"/>
                <w:sz w:val="19"/>
                <w:szCs w:val="19"/>
              </w:rPr>
              <w:t xml:space="preserve">☐  No</w:t>
            </w:r>
          </w:p>
        </w:tc>
        <w:tc>
          <w:tcPr>
            <w:tcW w:w="2269" w:type="dxa"/>
            <w:tcBorders>
              <w:top w:val="single" w:sz="4" w:space="0" w:color="EDEAE3"/>
            </w:tcBorders>
            <w:tcMar>
              <w:top w:w="200" w:type="dxa"/>
              <w:left w:w="0" w:type="dxa"/>
              <w:bottom w:w="200" w:type="dxa"/>
              <w:right w:w="180" w:type="dxa"/>
            </w:tcMar>
          </w:tcPr>
          <w:p>
            <w:pPr>
              <w:spacing w:before="0" w:after="0" w:line="330" w:lineRule="auto"/>
            </w:pPr>
            <w:r>
              <w:rPr>
                <w:rFonts w:ascii="Consolas" w:hAnsi="Consolas" w:cs="Consolas"/>
                <w:caps/>
                <w:spacing w:val="12"/>
                <w:color w:val="12352A"/>
                <w:sz w:val="14"/>
                <w:szCs w:val="14"/>
              </w:rPr>
              <w:t xml:space="preserve">Benefit disclosed</w:t>
            </w:r>
          </w:p>
        </w:tc>
        <w:tc>
          <w:tcPr>
            <w:tcW w:w="2664" w:type="dxa"/>
            <w:tcBorders>
              <w:top w:val="single" w:sz="4" w:space="0" w:color="EDEAE3"/>
            </w:tcBorders>
            <w:tcMar>
              <w:top w:w="200" w:type="dxa"/>
              <w:left w:w="0" w:type="dxa"/>
              <w:bottom w:w="200" w:type="dxa"/>
              <w:right w:w="0" w:type="dxa"/>
            </w:tcMar>
          </w:tcPr>
          <w:p>
            <w:pPr>
              <w:spacing w:before="0" w:after="0" w:line="330" w:lineRule="auto"/>
            </w:pPr>
            <w:r>
              <w:rPr>
                <w:rFonts w:ascii="Calibri" w:hAnsi="Calibri" w:cs="Calibri"/>
                <w:color w:val="242B27"/>
                <w:sz w:val="19"/>
                <w:szCs w:val="19"/>
              </w:rPr>
              <w:t xml:space="preserve">☐  Yes</w:t>
            </w:r>
          </w:p>
          <w:p>
            <w:pPr>
              <w:spacing w:before="0" w:after="0" w:line="330" w:lineRule="auto"/>
            </w:pPr>
            <w:r>
              <w:rPr>
                <w:rFonts w:ascii="Calibri" w:hAnsi="Calibri" w:cs="Calibri"/>
                <w:color w:val="242B27"/>
                <w:sz w:val="19"/>
                <w:szCs w:val="19"/>
              </w:rPr>
              <w:t xml:space="preserve">☐  No</w:t>
            </w:r>
          </w:p>
          <w:p>
            <w:pPr>
              <w:spacing w:before="0" w:after="0" w:line="330" w:lineRule="auto"/>
            </w:pPr>
            <w:r>
              <w:rPr>
                <w:rFonts w:ascii="Calibri" w:hAnsi="Calibri" w:cs="Calibri"/>
                <w:color w:val="242B27"/>
                <w:sz w:val="19"/>
                <w:szCs w:val="19"/>
              </w:rPr>
              <w:t xml:space="preserve">☐  Not applicable</w:t>
            </w:r>
          </w:p>
        </w:tc>
      </w:tr>
      <w:tr>
        <w:tc>
          <w:tcPr>
            <w:tcW w:w="2269" w:type="dxa"/>
            <w:tcBorders>
              <w:top w:val="single" w:sz="4" w:space="0" w:color="EDEAE3"/>
            </w:tcBorders>
            <w:tcMar>
              <w:top w:w="200" w:type="dxa"/>
              <w:left w:w="0" w:type="dxa"/>
              <w:bottom w:w="200" w:type="dxa"/>
              <w:right w:w="180" w:type="dxa"/>
            </w:tcMar>
          </w:tcPr>
          <w:p>
            <w:pPr>
              <w:spacing w:before="0" w:after="0" w:line="330" w:lineRule="auto"/>
            </w:pPr>
            <w:r>
              <w:rPr>
                <w:rFonts w:ascii="Consolas" w:hAnsi="Consolas" w:cs="Consolas"/>
                <w:caps/>
                <w:spacing w:val="12"/>
                <w:color w:val="12352A"/>
                <w:sz w:val="14"/>
                <w:szCs w:val="14"/>
              </w:rPr>
              <w:t xml:space="preserve">Prior client check</w:t>
            </w:r>
          </w:p>
        </w:tc>
        <w:tc>
          <w:tcPr>
            <w:tcW w:w="2664" w:type="dxa"/>
            <w:tcBorders>
              <w:top w:val="single" w:sz="4" w:space="0" w:color="EDEAE3"/>
            </w:tcBorders>
            <w:tcMar>
              <w:top w:w="200" w:type="dxa"/>
              <w:left w:w="0" w:type="dxa"/>
              <w:bottom w:w="200" w:type="dxa"/>
              <w:right w:w="260" w:type="dxa"/>
            </w:tcMar>
          </w:tcPr>
          <w:p>
            <w:pPr>
              <w:spacing w:before="0" w:after="0" w:line="330" w:lineRule="auto"/>
            </w:pPr>
            <w:r>
              <w:rPr>
                <w:rFonts w:ascii="Calibri" w:hAnsi="Calibri" w:cs="Calibri"/>
                <w:color w:val="242B27"/>
                <w:sz w:val="19"/>
                <w:szCs w:val="19"/>
              </w:rPr>
              <w:t xml:space="preserve">☐  New</w:t>
            </w:r>
          </w:p>
          <w:p>
            <w:pPr>
              <w:spacing w:before="0" w:after="0" w:line="330" w:lineRule="auto"/>
            </w:pPr>
            <w:r>
              <w:rPr>
                <w:rFonts w:ascii="Calibri" w:hAnsi="Calibri" w:cs="Calibri"/>
                <w:color w:val="242B27"/>
                <w:sz w:val="19"/>
                <w:szCs w:val="19"/>
              </w:rPr>
              <w:t xml:space="preserve">☐  Existing</w:t>
            </w:r>
          </w:p>
          <w:p>
            <w:pPr>
              <w:spacing w:before="0" w:after="0" w:line="330" w:lineRule="auto"/>
            </w:pPr>
            <w:r>
              <w:rPr>
                <w:rFonts w:ascii="Calibri" w:hAnsi="Calibri" w:cs="Calibri"/>
                <w:color w:val="242B27"/>
                <w:sz w:val="19"/>
                <w:szCs w:val="19"/>
              </w:rPr>
              <w:t xml:space="preserve">☐  Duplicate</w:t>
            </w:r>
          </w:p>
        </w:tc>
        <w:tc>
          <w:tcPr>
            <w:tcW w:w="2269" w:type="dxa"/>
            <w:tcBorders>
              <w:top w:val="single" w:sz="4" w:space="0" w:color="EDEAE3"/>
            </w:tcBorders>
            <w:tcMar>
              <w:top w:w="200" w:type="dxa"/>
              <w:left w:w="0" w:type="dxa"/>
              <w:bottom w:w="200" w:type="dxa"/>
              <w:right w:w="180" w:type="dxa"/>
            </w:tcMar>
          </w:tcPr>
          <w:p>
            <w:pPr>
              <w:spacing w:before="0" w:after="0" w:line="330" w:lineRule="auto"/>
            </w:pPr>
            <w:r>
              <w:rPr>
                <w:rFonts w:ascii="Consolas" w:hAnsi="Consolas" w:cs="Consolas"/>
                <w:caps/>
                <w:spacing w:val="12"/>
                <w:color w:val="12352A"/>
                <w:sz w:val="14"/>
                <w:szCs w:val="14"/>
              </w:rPr>
              <w:t xml:space="preserve">Assigned consultant</w:t>
            </w:r>
          </w:p>
        </w:tc>
        <w:tc>
          <w:tcPr>
            <w:tcW w:w="2664" w:type="dxa"/>
            <w:tcBorders>
              <w:top w:val="single" w:sz="4" w:space="0" w:color="EDEAE3"/>
            </w:tcBorders>
            <w:tcMar>
              <w:top w:w="200" w:type="dxa"/>
              <w:left w:w="0" w:type="dxa"/>
              <w:bottom w:w="200" w:type="dxa"/>
              <w:right w:w="0" w:type="dxa"/>
            </w:tcMar>
          </w:tcPr>
          <w:p>
            <w:pPr>
              <w:spacing w:before="0" w:after="0" w:line="330" w:lineRule="auto"/>
            </w:pPr>
            <w:r>
              <w:rPr>
                <w:rFonts w:ascii="Consolas" w:hAnsi="Consolas" w:cs="Consolas"/>
                <w:color w:val="8A6A2F"/>
                <w:sz w:val="17"/>
                <w:szCs w:val="17"/>
                <w:shd w:val="clear" w:color="auto" w:fill="FAF3E8"/>
              </w:rPr>
              <w:t xml:space="preserve">&lt;&lt;INSERT&gt;&gt;</w:t>
            </w:r>
          </w:p>
        </w:tc>
      </w:tr>
      <w:tr>
        <w:tc>
          <w:tcPr>
            <w:tcW w:w="2269" w:type="dxa"/>
            <w:tcBorders>
              <w:top w:val="single" w:sz="4" w:space="0" w:color="EDEAE3"/>
              <w:bottom w:val="single" w:sz="4" w:space="0" w:color="E2DED6"/>
            </w:tcBorders>
            <w:tcMar>
              <w:top w:w="200" w:type="dxa"/>
              <w:left w:w="0" w:type="dxa"/>
              <w:bottom w:w="200" w:type="dxa"/>
              <w:right w:w="180" w:type="dxa"/>
            </w:tcMar>
          </w:tcPr>
          <w:p>
            <w:pPr>
              <w:spacing w:before="0" w:after="0" w:line="330" w:lineRule="auto"/>
            </w:pPr>
            <w:r>
              <w:rPr>
                <w:rFonts w:ascii="Consolas" w:hAnsi="Consolas" w:cs="Consolas"/>
                <w:caps/>
                <w:spacing w:val="12"/>
                <w:color w:val="12352A"/>
                <w:sz w:val="14"/>
                <w:szCs w:val="14"/>
              </w:rPr>
              <w:t xml:space="preserve">Current status</w:t>
            </w:r>
          </w:p>
        </w:tc>
        <w:tc>
          <w:tcPr>
            <w:tcW w:w="2664" w:type="dxa"/>
            <w:tcBorders>
              <w:top w:val="single" w:sz="4" w:space="0" w:color="EDEAE3"/>
              <w:bottom w:val="single" w:sz="4" w:space="0" w:color="E2DED6"/>
            </w:tcBorders>
            <w:tcMar>
              <w:top w:w="200" w:type="dxa"/>
              <w:left w:w="0" w:type="dxa"/>
              <w:bottom w:w="200" w:type="dxa"/>
              <w:right w:w="260" w:type="dxa"/>
            </w:tcMar>
          </w:tcPr>
          <w:p>
            <w:pPr>
              <w:spacing w:before="0" w:after="0" w:line="330" w:lineRule="auto"/>
            </w:pPr>
            <w:r>
              <w:rPr>
                <w:rFonts w:ascii="Calibri" w:hAnsi="Calibri" w:cs="Calibri"/>
                <w:color w:val="242B27"/>
                <w:sz w:val="19"/>
                <w:szCs w:val="19"/>
              </w:rPr>
              <w:t xml:space="preserve">☐  Submitted</w:t>
            </w:r>
          </w:p>
          <w:p>
            <w:pPr>
              <w:spacing w:before="0" w:after="0" w:line="330" w:lineRule="auto"/>
            </w:pPr>
            <w:r>
              <w:rPr>
                <w:rFonts w:ascii="Calibri" w:hAnsi="Calibri" w:cs="Calibri"/>
                <w:color w:val="242B27"/>
                <w:sz w:val="19"/>
                <w:szCs w:val="19"/>
              </w:rPr>
              <w:t xml:space="preserve">☐  Accepted</w:t>
            </w:r>
          </w:p>
          <w:p>
            <w:pPr>
              <w:spacing w:before="0" w:after="0" w:line="330" w:lineRule="auto"/>
            </w:pPr>
            <w:r>
              <w:rPr>
                <w:rFonts w:ascii="Calibri" w:hAnsi="Calibri" w:cs="Calibri"/>
                <w:color w:val="242B27"/>
                <w:sz w:val="19"/>
                <w:szCs w:val="19"/>
              </w:rPr>
              <w:t xml:space="preserve">☐  Contacted</w:t>
            </w:r>
          </w:p>
          <w:p>
            <w:pPr>
              <w:spacing w:before="0" w:after="0" w:line="330" w:lineRule="auto"/>
            </w:pPr>
            <w:r>
              <w:rPr>
                <w:rFonts w:ascii="Calibri" w:hAnsi="Calibri" w:cs="Calibri"/>
                <w:color w:val="242B27"/>
                <w:sz w:val="19"/>
                <w:szCs w:val="19"/>
              </w:rPr>
              <w:t xml:space="preserve">☐  Engaged</w:t>
            </w:r>
          </w:p>
          <w:p>
            <w:pPr>
              <w:spacing w:before="0" w:after="0" w:line="330" w:lineRule="auto"/>
            </w:pPr>
            <w:r>
              <w:rPr>
                <w:rFonts w:ascii="Calibri" w:hAnsi="Calibri" w:cs="Calibri"/>
                <w:color w:val="242B27"/>
                <w:sz w:val="19"/>
                <w:szCs w:val="19"/>
              </w:rPr>
              <w:t xml:space="preserve">☐  Contracted</w:t>
            </w:r>
          </w:p>
          <w:p>
            <w:pPr>
              <w:spacing w:before="0" w:after="0" w:line="330" w:lineRule="auto"/>
            </w:pPr>
            <w:r>
              <w:rPr>
                <w:rFonts w:ascii="Calibri" w:hAnsi="Calibri" w:cs="Calibri"/>
                <w:color w:val="242B27"/>
                <w:sz w:val="19"/>
                <w:szCs w:val="19"/>
              </w:rPr>
              <w:t xml:space="preserve">☐  Settled</w:t>
            </w:r>
          </w:p>
        </w:tc>
        <w:tc>
          <w:tcPr>
            <w:tcW w:w="2269" w:type="dxa"/>
            <w:tcBorders>
              <w:top w:val="single" w:sz="4" w:space="0" w:color="EDEAE3"/>
              <w:bottom w:val="single" w:sz="4" w:space="0" w:color="E2DED6"/>
            </w:tcBorders>
            <w:tcMar>
              <w:top w:w="200" w:type="dxa"/>
              <w:left w:w="0" w:type="dxa"/>
              <w:bottom w:w="200" w:type="dxa"/>
              <w:right w:w="180" w:type="dxa"/>
            </w:tcMar>
          </w:tcPr>
          <w:p>
            <w:pPr>
              <w:spacing w:before="0" w:after="0" w:line="330" w:lineRule="auto"/>
            </w:pPr>
            <w:r>
              <w:rPr>
                <w:rFonts w:ascii="Consolas" w:hAnsi="Consolas" w:cs="Consolas"/>
                <w:caps/>
                <w:spacing w:val="12"/>
                <w:color w:val="12352A"/>
                <w:sz w:val="14"/>
                <w:szCs w:val="14"/>
              </w:rPr>
              <w:t xml:space="preserve">Commercial eligibility</w:t>
            </w:r>
          </w:p>
        </w:tc>
        <w:tc>
          <w:tcPr>
            <w:tcW w:w="2664" w:type="dxa"/>
            <w:tcBorders>
              <w:top w:val="single" w:sz="4" w:space="0" w:color="EDEAE3"/>
              <w:bottom w:val="single" w:sz="4" w:space="0" w:color="E2DED6"/>
            </w:tcBorders>
            <w:tcMar>
              <w:top w:w="200" w:type="dxa"/>
              <w:left w:w="0" w:type="dxa"/>
              <w:bottom w:w="200" w:type="dxa"/>
              <w:right w:w="0" w:type="dxa"/>
            </w:tcMar>
          </w:tcPr>
          <w:p>
            <w:pPr>
              <w:spacing w:before="0" w:after="0" w:line="330" w:lineRule="auto"/>
            </w:pPr>
            <w:r>
              <w:rPr>
                <w:rFonts w:ascii="Calibri" w:hAnsi="Calibri" w:cs="Calibri"/>
                <w:color w:val="242B27"/>
                <w:sz w:val="19"/>
                <w:szCs w:val="19"/>
              </w:rPr>
              <w:t xml:space="preserve">☐  Pending</w:t>
            </w:r>
          </w:p>
          <w:p>
            <w:pPr>
              <w:spacing w:before="0" w:after="0" w:line="330" w:lineRule="auto"/>
            </w:pPr>
            <w:r>
              <w:rPr>
                <w:rFonts w:ascii="Calibri" w:hAnsi="Calibri" w:cs="Calibri"/>
                <w:color w:val="242B27"/>
                <w:sz w:val="19"/>
                <w:szCs w:val="19"/>
              </w:rPr>
              <w:t xml:space="preserve">☐  Eligible</w:t>
            </w:r>
          </w:p>
          <w:p>
            <w:pPr>
              <w:spacing w:before="0" w:after="0" w:line="330" w:lineRule="auto"/>
            </w:pPr>
            <w:r>
              <w:rPr>
                <w:rFonts w:ascii="Calibri" w:hAnsi="Calibri" w:cs="Calibri"/>
                <w:color w:val="242B27"/>
                <w:sz w:val="19"/>
                <w:szCs w:val="19"/>
              </w:rPr>
              <w:t xml:space="preserve">☐  Not eligible</w:t>
            </w:r>
          </w:p>
        </w:tc>
      </w:tr>
    </w:tbl>
    <w:p>
      <w:pPr>
        <w:spacing w:before="0" w:after="140" w:line="330" w:lineRule="auto"/>
      </w:pPr>
    </w:p>
    <w:tbl>
      <w:tblPr>
        <w:tblW w:w="5000" w:type="pc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65"/>
      </w:tblGrid>
      <w:tr>
        <w:tc>
          <w:tcPr>
            <w:tcW w:w="9865" w:type="dxa"/>
            <w:shd w:val="clear" w:color="auto" w:fill="12352A"/>
            <w:tcMar>
              <w:top w:w="260" w:type="dxa"/>
              <w:left w:w="300" w:type="dxa"/>
              <w:bottom w:w="280" w:type="dxa"/>
              <w:right w:w="300" w:type="dxa"/>
            </w:tcMar>
          </w:tcPr>
          <w:p>
            <w:pPr>
              <w:spacing w:before="0" w:after="80" w:line="330" w:lineRule="auto"/>
            </w:pPr>
            <w:r>
              <w:rPr>
                <w:rFonts w:ascii="Consolas" w:hAnsi="Consolas" w:cs="Consolas"/>
                <w:caps/>
                <w:spacing w:val="16"/>
                <w:color w:val="C9B78E"/>
                <w:sz w:val="14"/>
                <w:szCs w:val="14"/>
              </w:rPr>
              <w:t xml:space="preserve">Permitted update fields</w:t>
            </w:r>
          </w:p>
          <w:p>
            <w:pPr>
              <w:spacing w:before="0" w:after="0" w:line="330" w:lineRule="auto"/>
            </w:pPr>
            <w:r>
              <w:rPr>
                <w:rFonts w:ascii="Calibri" w:hAnsi="Calibri" w:cs="Calibri"/>
                <w:color w:val="E7EAE6"/>
                <w:sz w:val="19"/>
                <w:szCs w:val="19"/>
              </w:rPr>
              <w:t xml:space="preserve">Subject to client consent, status updates should be limited to high-level milestones such as contacted, engaged, searching, contract signed, finance milestone and settled. Detailed financial or personal information should not be disclosed unless specifically authorised.</w:t>
            </w:r>
          </w:p>
        </w:tc>
      </w:tr>
    </w:tbl>
    <w:sectPr>
      <w:headerReference r:id="rId3" w:type="default"/>
      <w:footerReference r:id="rId4" w:type="default"/>
      <w:pgSz w:w="11906" w:h="16838"/>
      <w:pgMar w:top="1400" w:right="1008" w:bottom="1300" w:left="1008" w:header="720" w:footer="680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D9D5CD"/>
      </w:pBdr>
      <w:spacing w:before="0" w:after="0" w:line="330" w:lineRule="auto"/>
      <w:tabs>
        <w:tab w:val="right" w:pos="9865"/>
      </w:tabs>
    </w:pPr>
    <w:r>
      <w:rPr>
        <w:rFonts w:ascii="Consolas" w:hAnsi="Consolas" w:cs="Consolas"/>
        <w:caps/>
        <w:spacing w:val="16"/>
        <w:color w:val="8A9490"/>
        <w:sz w:val="14"/>
        <w:szCs w:val="14"/>
      </w:rPr>
      <w:t xml:space="preserve">Template only</w:t>
    </w:r>
    <w:r>
      <w:tab/>
    </w:r>
    <w:r>
      <w:rPr>
        <w:rFonts w:ascii="Consolas" w:hAnsi="Consolas" w:cs="Consolas"/>
        <w:caps/>
        <w:spacing w:val="16"/>
        <w:color w:val="8A9490"/>
        <w:sz w:val="14"/>
        <w:szCs w:val="14"/>
      </w:rP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onsolas" w:hAnsi="Consolas" w:cs="Consolas"/>
        <w:color w:val="8A9490"/>
        <w:sz w:val="14"/>
        <w:szCs w:val="14"/>
      </w:rPr>
      <w:t>1</w:t>
    </w:r>
    <w:r>
      <w:fldChar w:fldCharType="end"/>
    </w:r>
    <w:r>
      <w:rPr>
        <w:rFonts w:ascii="Consolas" w:hAnsi="Consolas" w:cs="Consolas"/>
        <w:color w:val="8A9490"/>
        <w:sz w:val="14"/>
        <w:szCs w:val="14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Consolas" w:hAnsi="Consolas" w:cs="Consolas"/>
        <w:color w:val="8A9490"/>
        <w:sz w:val="14"/>
        <w:szCs w:val="14"/>
      </w:rP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pBdr>
        <w:bottom w:val="single" w:sz="4" w:space="2" w:color="D9D5CD"/>
      </w:pBdr>
      <w:spacing w:before="0" w:after="0" w:line="330" w:lineRule="auto"/>
      <w:tabs>
        <w:tab w:val="right" w:pos="9865"/>
      </w:tabs>
    </w:pPr>
    <w:r>
      <w:rPr>
        <w:rFonts w:ascii="Consolas" w:hAnsi="Consolas" w:cs="Consolas"/>
        <w:caps/>
        <w:spacing w:val="16"/>
        <w:color w:val="12352A"/>
        <w:sz w:val="14"/>
        <w:szCs w:val="14"/>
      </w:rPr>
      <w:t xml:space="preserve">Strategic Property Referral Agreement</w:t>
    </w:r>
    <w:r>
      <w:rPr>
        <w:rFonts w:ascii="Calibri" w:hAnsi="Calibri" w:cs="Calibri"/>
        <w:color w:val="242B27"/>
        <w:sz w:val="20"/>
        <w:szCs w:val="20"/>
      </w:rPr>
      <w:t xml:space="preserve">	</w:t>
    </w:r>
    <w:r>
      <w:rPr>
        <w:rFonts w:ascii="Consolas" w:hAnsi="Consolas" w:cs="Consolas"/>
        <w:caps/>
        <w:spacing w:val="16"/>
        <w:color w:val="8A9490"/>
        <w:sz w:val="14"/>
        <w:szCs w:val="14"/>
      </w:rPr>
      <w:t xml:space="preserve">Version 2.0</w:t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color w:val="242B27"/>
        <w:sz w:val="20"/>
        <w:szCs w:val="20"/>
      </w:rPr>
    </w:rPrDefault>
    <w:pPrDefault>
      <w:pPr>
        <w:spacing w:after="80" w:line="33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3" Type="http://schemas.openxmlformats.org/officeDocument/2006/relationships/header" Target="header1.xml"/><Relationship Id="rId4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>
  <dc:title>Strategic Property Referral Agreement</dc:title>
</cp:coreProperties>
</file>