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8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2"/>
                <w:sz w:val="16"/>
                <w:u w:val="none"/>
              </w:rPr>
              <w:t>{{paper.classification}}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pacing w:val="4"/>
                <w:sz w:val="60"/>
                <w:u w:val="none"/>
              </w:rPr>
              <w:t>{{paper.title}}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{{paper.subtitle}}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Agenda item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{{paper.agendaItem}}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Meeting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{{paper.meetingDate}}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Position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{{author.title}}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Paper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Classification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{{paper.classification}}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Decision or noting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{{paper.decisionType}}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Previously considered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{{paper.priorConsideration}}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Purpose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Purpose of this paper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{{paper.purpose}}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Recommendation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MANAGEMENT RECOMMENDATION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2"/>
                <w:u w:val="none"/>
              </w:rPr>
              <w:t>{{paper.recommendation}}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{{paper.actionsSought[0]}}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{{paper.actionsSought[1]}}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{{paper.actionsSought[2]}}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Background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What the board has already seen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{{paper.background}}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Discussion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Management's analysis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{{paper.discussion}}</w:t>
      </w:r>
    </w:p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Financial impact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ancial impact"/>
        <w:tblDescription w:val="Columns: Item, Amount, Timing, Budget position, Note"/>
      </w:tblPr>
      <w:tblGrid>
        <w:gridCol w:w="2608"/>
        <w:gridCol w:w="1474"/>
        <w:gridCol w:w="1587"/>
        <w:gridCol w:w="1814"/>
        <w:gridCol w:w="2608"/>
      </w:tblGrid>
      <w:tr>
        <w:trPr>
          <w:cantSplit/>
          <w:trHeight w:val="420" w:hRule="atLeast"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Timing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Budget position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Amounts are management estimates prepared on the same basis as the quarterly forecast. They are not audited and do not form part of the statutory accounts.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Options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Alternatives considered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Options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ptions assessed"/>
        <w:tblDescription w:val="Compares: A — Hold, B — Re-weight, C — Expand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A — Hold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 — Re-weight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 — Expand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Description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Change nothing this year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Move capacity from transactional to advisory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Hire into advisory and compliance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Net new headcount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Cost in period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$84,000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$690,000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Revenue effect, 12 months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−$310,000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+$540,000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+$980,000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Time to effect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 quarters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quarters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Reversibility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n/a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High — one quarter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Low — fixed cost added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Principal risk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Continues to decline work we can deliver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Retraining lag reduces Q1 capacity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Fixed cost committed ahead of demand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Risk &amp; compliance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0"/>
          <w:sz w:val="15"/>
          <w:u w:val="none"/>
        </w:rPr>
        <w:t>Risk implications and management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 implications and management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{{paper.compliance}}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Resolution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The wording proposed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4C5B73"/>
              <w:bottom w:val="single" w:sz="4" w:space="0" w:color="DCE3ED"/>
              <w:right w:val="single" w:sz="4" w:space="0" w:color="DCE3ED"/>
            </w:tcBorders>
            <w:shd w:val="clear" w:color="auto" w:fill="EDF1F7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Resolution sought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{{paper.resolution}}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{{paper.resolutionNotes[0]}}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{{paper.resolutionNotes[1]}}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{{paper.resolutionNotes[2]}}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4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mbria" w:hAnsi="Cambria" w:cs="Cambria" w:eastAsia="Cambria"/>
          <w:b/>
          <w:i w:val="0"/>
          <w:color w:val="0C2340"/>
          <w:sz w:val="34"/>
          <w:u w:val="none"/>
        </w:rPr>
        <w:t>Attachments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Documents provided with this paper and available in the board portal. Attachments are not reproduced in the paper itself.</w:t>
      </w:r>
    </w:p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Attachment index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ttachment index"/>
        <w:tblDescription w:val="Columns: Ref, Attachment, Pages, Source"/>
      </w:tblPr>
      <w:tblGrid>
        <w:gridCol w:w="1020"/>
        <w:gridCol w:w="5443"/>
        <w:gridCol w:w="1247"/>
        <w:gridCol w:w="2381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Attachment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Pages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Board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Report</dc:title>
  <dc:subject>A paper prepared for a board meeting: purpose, background, discussion, recommendation and the resolution sought.</dc:subject>
  <dc:creator>Aurixa Systems</dc:creator>
  <cp:keywords>Board paper, Board report, Governance paper,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