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C2CDDC"/>
              <w:left w:val="single" w:sz="6" w:space="0" w:color="C2CDDC"/>
              <w:bottom w:val="single" w:sz="6" w:space="0" w:color="C2CDDC"/>
              <w:right w:val="single" w:sz="6" w:space="0" w:color="C2CDDC"/>
            </w:tcBorders>
            <w:shd w:val="clear" w:color="auto" w:fill="EDF1F7"/>
            <w:tcMar>
              <w:top w:w="1250" w:type="dxa"/>
              <w:left w:w="200" w:type="dxa"/>
              <w:bottom w:w="1250" w:type="dxa"/>
              <w:right w:w="200" w:type="dxa"/>
            </w:tcMar>
          </w:tcPr>
          <w:p>
            <w:pPr>
              <w:keepNext w:val="0"/>
              <w:keepLines/>
              <w:pageBreakBefore w:val="0"/>
              <w:widowControl w:val="1"/>
              <w:spacing w:before="0" w:after="0"/>
              <w:jc w:val="center"/>
            </w:pPr>
            <w:r>
              <w:rPr>
                <w:rFonts w:ascii="Calibri" w:hAnsi="Calibri" w:cs="Calibri" w:eastAsia="Calibri"/>
                <w:b/>
                <w:i w:val="0"/>
                <w:caps w:val="1"/>
                <w:color w:val="8493A8"/>
                <w:spacing w:val="36"/>
                <w:sz w:val="15"/>
                <w:u w:val="none"/>
              </w:rPr>
              <w:t>[  COVER IMAGE  —  1600 × 900 px minimum  ]</w:t>
            </w:r>
          </w:p>
        </w:tc>
      </w:tr>
    </w:tbl>
    <w:p>
      <w:pPr>
        <w:keepNext w:val="0"/>
        <w:keepLines/>
        <w:pageBreakBefore w:val="0"/>
        <w:widowControl w:val="1"/>
        <w:spacing w:before="0" w:after="0" w:line="3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855"/>
      </w:tblGrid>
      <w:tr>
        <w:trPr>
          <w:cantSplit/>
        </w:trPr>
        <w:tc>
          <w:tcPr>
            <w:tcW w:type="dxa" w:w="3855"/>
            <w:tcBorders>
              <w:top w:val="dashed" w:sz="8" w:space="0" w:color="C2CDDC"/>
              <w:left w:val="dashed" w:sz="8" w:space="0" w:color="C2CDDC"/>
              <w:bottom w:val="dashed" w:sz="8" w:space="0" w:color="C2CDDC"/>
              <w:right w:val="dashed" w:sz="8" w:space="0" w:color="C2CDDC"/>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4C5B73"/>
                <w:spacing w:val="60"/>
                <w:sz w:val="14"/>
                <w:u w:val="none"/>
              </w:rPr>
              <w:t>[  AURIXA SYSTEMS  ]</w:t>
            </w:r>
          </w:p>
        </w:tc>
      </w:tr>
    </w:tbl>
    <w:p>
      <w:pPr>
        <w:keepNext w:val="0"/>
        <w:keepLines/>
        <w:pageBreakBefore w:val="0"/>
        <w:widowControl w:val="1"/>
        <w:spacing w:before="0" w:after="0" w:line="280" w:lineRule="exact"/>
      </w:pPr>
      <w:r>
        <w:rPr>
          <w:sz w:val="2"/>
        </w:rPr>
      </w:r>
    </w:p>
    <w:p>
      <w:pPr>
        <w:keepNext w:val="0"/>
        <w:keepLines/>
        <w:pageBreakBefore w:val="0"/>
        <w:widowControl w:val="1"/>
        <w:spacing w:before="0" w:after="160"/>
        <w:jc w:val="center"/>
      </w:pPr>
      <w:r>
        <w:rPr>
          <w:rFonts w:ascii="Calibri" w:hAnsi="Calibri" w:cs="Calibri" w:eastAsia="Calibri"/>
          <w:b/>
          <w:i w:val="0"/>
          <w:caps w:val="1"/>
          <w:color w:val="12B0CE"/>
          <w:spacing w:val="92"/>
          <w:sz w:val="16"/>
          <w:u w:val="none"/>
        </w:rPr>
        <w:t>Proposal</w:t>
      </w:r>
    </w:p>
    <w:p>
      <w:pPr>
        <w:keepNext/>
        <w:keepLines/>
        <w:pageBreakBefore w:val="0"/>
        <w:widowControl w:val="1"/>
        <w:spacing w:before="0" w:after="200" w:line="245" w:lineRule="auto"/>
        <w:jc w:val="center"/>
      </w:pPr>
      <w:r>
        <w:rPr>
          <w:rFonts w:ascii="Georgia" w:hAnsi="Georgia" w:cs="Georgia" w:eastAsia="Georgia"/>
          <w:b w:val="0"/>
          <w:i w:val="0"/>
          <w:color w:val="071527"/>
          <w:spacing w:val="12"/>
          <w:sz w:val="64"/>
          <w:u w:val="none"/>
        </w:rPr>
        <w:t>A Proposal to Acquire</w:t>
      </w:r>
    </w:p>
    <w:p>
      <w:pPr>
        <w:keepNext w:val="0"/>
        <w:keepLines/>
        <w:pageBreakBefore w:val="0"/>
        <w:widowControl w:val="1"/>
        <w:pBdr>
          <w:bottom w:val="single" w:sz="8" w:space="1" w:color="12B0CE"/>
        </w:pBdr>
        <w:spacing w:before="0" w:after="200" w:line="20" w:lineRule="exact"/>
      </w:pPr>
      <w:r>
        <w:rPr>
          <w:sz w:val="2"/>
        </w:rPr>
      </w:r>
    </w:p>
    <w:p>
      <w:pPr>
        <w:keepNext w:val="0"/>
        <w:keepLines/>
        <w:pageBreakBefore w:val="0"/>
        <w:widowControl w:val="1"/>
        <w:spacing w:before="0" w:after="0" w:line="360" w:lineRule="auto"/>
        <w:jc w:val="center"/>
      </w:pPr>
      <w:r>
        <w:rPr>
          <w:rFonts w:ascii="Calibri" w:hAnsi="Calibri" w:cs="Calibri" w:eastAsia="Calibri"/>
          <w:b w:val="0"/>
          <w:i w:val="0"/>
          <w:color w:val="4C5B73"/>
          <w:sz w:val="22"/>
          <w:u w:val="none"/>
        </w:rPr>
        <w:t>Prepared for J. &amp; S. Nguyen — our understanding of your position, what we propose to do, and what it will cost.</w:t>
      </w:r>
    </w:p>
    <w:p>
      <w:pPr>
        <w:keepNext w:val="0"/>
        <w:keepLines/>
        <w:pageBreakBefore w:val="0"/>
        <w:widowControl w:val="1"/>
        <w:spacing w:before="0" w:after="0" w:line="24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{{client.name}}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{{document.issueDate}}</w:t>
            </w:r>
          </w:p>
        </w:tc>
        <w:tc>
          <w:tcPr>
            <w:tcW w:type="dxa" w:w="2018"/>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Valid until</w:t>
            </w:r>
          </w:p>
        </w:tc>
        <w:tc>
          <w:tcPr>
            <w:tcW w:type="dxa" w:w="3027"/>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{{proposal.validity}}</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71527"/>
          <w:spacing w:val="12"/>
          <w:sz w:val="34"/>
          <w:u w:val="none"/>
        </w:rPr>
        <w:t>Your situation</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val="0"/>
        <w:keepLines/>
        <w:pageBreakBefore w:val="0"/>
        <w:widowControl w:val="1"/>
        <w:spacing w:before="0" w:after="0" w:line="355" w:lineRule="auto"/>
      </w:pPr>
      <w:r>
        <w:rPr>
          <w:rFonts w:ascii="Calibri" w:hAnsi="Calibri" w:cs="Calibri" w:eastAsia="Calibri"/>
          <w:b w:val="0"/>
          <w:i w:val="0"/>
          <w:color w:val="10192A"/>
          <w:sz w:val="20"/>
          <w:u w:val="none"/>
        </w:rPr>
        <w:t>You are looking to add a third investment property to a portfolio you have built over eleven years, and you have told us the last acquisition took fourteen months and did not, in the end, meet the brief you set for it.</w:t>
      </w:r>
    </w:p>
    <w:p>
      <w:pPr>
        <w:keepNext w:val="0"/>
        <w:keepLines/>
        <w:pageBreakBefore w:val="0"/>
        <w:widowControl w:val="1"/>
        <w:spacing w:before="100" w:after="0" w:line="355" w:lineRule="auto"/>
      </w:pPr>
      <w:r>
        <w:rPr>
          <w:rFonts w:ascii="Calibri" w:hAnsi="Calibri" w:cs="Calibri" w:eastAsia="Calibri"/>
          <w:b w:val="0"/>
          <w:i w:val="0"/>
          <w:color w:val="10192A"/>
          <w:sz w:val="20"/>
          <w:u w:val="none"/>
        </w:rPr>
        <w:t>The constraint is not capital and it is not appetite. It is time, and access. You have neither the hours to inspect forty properties nor the standing relationships that surface the ones that never reach a portal.</w:t>
      </w:r>
    </w:p>
    <w:p>
      <w:pPr>
        <w:keepNext w:val="0"/>
        <w:keepLines/>
        <w:pageBreakBefore w:val="0"/>
        <w:widowControl w:val="1"/>
        <w:spacing w:before="100" w:after="0" w:line="355" w:lineRule="auto"/>
      </w:pPr>
      <w:r>
        <w:rPr>
          <w:rFonts w:ascii="Calibri" w:hAnsi="Calibri" w:cs="Calibri" w:eastAsia="Calibri"/>
          <w:b w:val="0"/>
          <w:i w:val="0"/>
          <w:color w:val="10192A"/>
          <w:sz w:val="20"/>
          <w:u w:val="none"/>
        </w:rPr>
        <w:t>That is a specific problem, and it is the one we are proposing to solve.</w:t>
      </w:r>
    </w:p>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2B0CE"/>
              <w:left w:val="single" w:sz="26" w:space="0" w:color="12B0CE"/>
              <w:bottom w:val="single" w:sz="6" w:space="0" w:color="12B0CE"/>
              <w:right w:val="single" w:sz="6" w:space="0" w:color="12B0CE"/>
            </w:tcBorders>
            <w:shd w:val="clear" w:color="auto" w:fill="EEFAFC"/>
            <w:tcMar>
              <w:top w:w="237" w:type="dxa"/>
              <w:left w:w="277" w:type="dxa"/>
              <w:bottom w:w="237" w:type="dxa"/>
              <w:right w:w="277" w:type="dxa"/>
            </w:tcMar>
          </w:tcPr>
          <w:p>
            <w:pPr>
              <w:keepNext/>
              <w:keepLines/>
              <w:pageBreakBefore w:val="0"/>
              <w:widowControl w:val="1"/>
              <w:spacing w:before="0" w:after="100"/>
            </w:pPr>
            <w:r>
              <w:rPr>
                <w:rFonts w:ascii="Calibri" w:hAnsi="Calibri" w:cs="Calibri" w:eastAsia="Calibri"/>
                <w:b/>
                <w:i w:val="0"/>
                <w:caps w:val="1"/>
                <w:color w:val="12B0CE"/>
                <w:spacing w:val="52"/>
                <w:sz w:val="15"/>
                <w:u w:val="none"/>
              </w:rPr>
              <w:t>WHAT WE PROPOSE</w:t>
            </w:r>
          </w:p>
          <w:p>
            <w:pPr>
              <w:keepNext w:val="0"/>
              <w:keepLines/>
              <w:pageBreakBefore w:val="0"/>
              <w:widowControl w:val="1"/>
              <w:spacing w:before="0" w:after="120" w:line="298" w:lineRule="auto"/>
            </w:pPr>
            <w:r>
              <w:rPr>
                <w:rFonts w:ascii="Georgia" w:hAnsi="Georgia" w:cs="Georgia" w:eastAsia="Georgia"/>
                <w:b/>
                <w:i w:val="0"/>
                <w:color w:val="071527"/>
                <w:sz w:val="22"/>
                <w:u w:val="none"/>
              </w:rPr>
              <w:t>A six-month retained search across three target corridors, with a written brief agreed up front and a weekly report, concluding at unconditional exchange.</w:t>
            </w:r>
          </w:p>
          <w:p>
            <w:pPr>
              <w:keepNext w:val="0"/>
              <w:keepLines/>
              <w:pageBreakBefore w:val="0"/>
              <w:widowControl w:val="1"/>
              <w:spacing w:before="0" w:after="0" w:line="355" w:lineRule="auto"/>
            </w:pPr>
            <w:r>
              <w:rPr>
                <w:rFonts w:ascii="Calibri" w:hAnsi="Calibri" w:cs="Calibri" w:eastAsia="Calibri"/>
                <w:b w:val="0"/>
                <w:i w:val="0"/>
                <w:color w:val="10192A"/>
                <w:sz w:val="17"/>
                <w:u w:val="none"/>
              </w:rPr>
              <w:t>Retained rather than success-only, because a success-only mandate rewards transacting rather than transacting well, and you have already had one acquisition that met the deadline and missed the brief.</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71527"/>
          <w:spacing w:val="12"/>
          <w:sz w:val="34"/>
          <w:u w:val="none"/>
        </w:rPr>
        <w:t>Scope of work</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1</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Brief</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Two sessions to agree the mandate, the scoring criteria and the walk-away conditions, in writing.</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2</w:t>
            </w:r>
          </w:p>
        </w:tc>
        <w:tc>
          <w:tcPr>
            <w:tcW w:type="dxa" w:w="2268"/>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Search</w:t>
            </w:r>
          </w:p>
        </w:tc>
        <w:tc>
          <w:tcPr>
            <w:tcW w:type="dxa" w:w="7143"/>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Weekly search across three corridors, on and off market, with a written shortlist report every Friday.</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3</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Assess</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Full investment analysis and due-diligence coordination on every property that reaches the shortlist.</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4</w:t>
            </w:r>
          </w:p>
        </w:tc>
        <w:tc>
          <w:tcPr>
            <w:tcW w:type="dxa" w:w="2268"/>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Negotiate</w:t>
            </w:r>
          </w:p>
        </w:tc>
        <w:tc>
          <w:tcPr>
            <w:tcW w:type="dxa" w:w="7143"/>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Offer strategy, negotiation and management to exchange.</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5</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Settle</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Coordination with your conveyancer and broker to settlement, and a post-purchase plan.</w:t>
            </w:r>
          </w:p>
        </w:tc>
      </w:tr>
    </w:tbl>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What you receive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132" w:type="dxa"/>
              <w:left w:w="184" w:type="dxa"/>
              <w:bottom w:w="132" w:type="dxa"/>
              <w:right w:w="184"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2B0CE"/>
                <w:sz w:val="19"/>
                <w:u w:val="none"/>
              </w:rPr>
              <w:t xml:space="preserve">☐  </w:t>
            </w:r>
            <w:r>
              <w:rPr>
                <w:rFonts w:ascii="Calibri" w:hAnsi="Calibri" w:cs="Calibri" w:eastAsia="Calibri"/>
                <w:b w:val="0"/>
                <w:i w:val="0"/>
                <w:color w:val="10192A"/>
                <w:sz w:val="17"/>
                <w:u w:val="none"/>
              </w:rPr>
              <w:t>A written property brief, agreed and signed.</w:t>
            </w:r>
          </w:p>
        </w:tc>
      </w:tr>
      <w:tr>
        <w:trPr>
          <w:cantSplit/>
        </w:trPr>
        <w:tc>
          <w:tcPr>
            <w:tcW w:type="dxa" w:w="10091"/>
            <w:tcBorders>
              <w:top w:val="nil"/>
              <w:left w:val="nil"/>
              <w:bottom w:val="single" w:sz="4" w:space="0" w:color="DCE3ED"/>
              <w:right w:val="nil"/>
            </w:tcBorders>
            <w:tcMar>
              <w:top w:w="132" w:type="dxa"/>
              <w:left w:w="184" w:type="dxa"/>
              <w:bottom w:w="132" w:type="dxa"/>
              <w:right w:w="184"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2B0CE"/>
                <w:sz w:val="19"/>
                <w:u w:val="none"/>
              </w:rPr>
              <w:t xml:space="preserve">☐  </w:t>
            </w:r>
            <w:r>
              <w:rPr>
                <w:rFonts w:ascii="Calibri" w:hAnsi="Calibri" w:cs="Calibri" w:eastAsia="Calibri"/>
                <w:b w:val="0"/>
                <w:i w:val="0"/>
                <w:color w:val="10192A"/>
                <w:sz w:val="17"/>
                <w:u w:val="none"/>
              </w:rPr>
              <w:t>A weekly shortlist report for the duration of the search.</w:t>
            </w:r>
          </w:p>
        </w:tc>
      </w:tr>
      <w:tr>
        <w:trPr>
          <w:cantSplit/>
        </w:trPr>
        <w:tc>
          <w:tcPr>
            <w:tcW w:type="dxa" w:w="10091"/>
            <w:tcBorders>
              <w:top w:val="nil"/>
              <w:left w:val="nil"/>
              <w:bottom w:val="single" w:sz="4" w:space="0" w:color="DCE3ED"/>
              <w:right w:val="nil"/>
            </w:tcBorders>
            <w:tcMar>
              <w:top w:w="132" w:type="dxa"/>
              <w:left w:w="184" w:type="dxa"/>
              <w:bottom w:w="132" w:type="dxa"/>
              <w:right w:w="184"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2B0CE"/>
                <w:sz w:val="19"/>
                <w:u w:val="none"/>
              </w:rPr>
              <w:t xml:space="preserve">☐  </w:t>
            </w:r>
            <w:r>
              <w:rPr>
                <w:rFonts w:ascii="Calibri" w:hAnsi="Calibri" w:cs="Calibri" w:eastAsia="Calibri"/>
                <w:b w:val="0"/>
                <w:i w:val="0"/>
                <w:color w:val="10192A"/>
                <w:sz w:val="17"/>
                <w:u w:val="none"/>
              </w:rPr>
              <w:t>A full investment report on every shortlisted property.</w:t>
            </w:r>
          </w:p>
        </w:tc>
      </w:tr>
      <w:tr>
        <w:trPr>
          <w:cantSplit/>
        </w:trPr>
        <w:tc>
          <w:tcPr>
            <w:tcW w:type="dxa" w:w="10091"/>
            <w:tcBorders>
              <w:top w:val="nil"/>
              <w:left w:val="nil"/>
              <w:bottom w:val="single" w:sz="4" w:space="0" w:color="DCE3ED"/>
              <w:right w:val="nil"/>
            </w:tcBorders>
            <w:tcMar>
              <w:top w:w="132" w:type="dxa"/>
              <w:left w:w="184" w:type="dxa"/>
              <w:bottom w:w="132" w:type="dxa"/>
              <w:right w:w="184"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2B0CE"/>
                <w:sz w:val="19"/>
                <w:u w:val="none"/>
              </w:rPr>
              <w:t xml:space="preserve">☐  </w:t>
            </w:r>
            <w:r>
              <w:rPr>
                <w:rFonts w:ascii="Calibri" w:hAnsi="Calibri" w:cs="Calibri" w:eastAsia="Calibri"/>
                <w:b w:val="0"/>
                <w:i w:val="0"/>
                <w:color w:val="10192A"/>
                <w:sz w:val="17"/>
                <w:u w:val="none"/>
              </w:rPr>
              <w:t>A due-diligence report before any offer is made.</w:t>
            </w:r>
          </w:p>
        </w:tc>
      </w:tr>
      <w:tr>
        <w:trPr>
          <w:cantSplit/>
        </w:trPr>
        <w:tc>
          <w:tcPr>
            <w:tcW w:type="dxa" w:w="10091"/>
            <w:tcBorders>
              <w:top w:val="nil"/>
              <w:left w:val="nil"/>
              <w:bottom w:val="single" w:sz="4" w:space="0" w:color="DCE3ED"/>
              <w:right w:val="nil"/>
            </w:tcBorders>
            <w:tcMar>
              <w:top w:w="132" w:type="dxa"/>
              <w:left w:w="184" w:type="dxa"/>
              <w:bottom w:w="132" w:type="dxa"/>
              <w:right w:w="184"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2B0CE"/>
                <w:sz w:val="19"/>
                <w:u w:val="none"/>
              </w:rPr>
              <w:t xml:space="preserve">☐  </w:t>
            </w:r>
            <w:r>
              <w:rPr>
                <w:rFonts w:ascii="Calibri" w:hAnsi="Calibri" w:cs="Calibri" w:eastAsia="Calibri"/>
                <w:b w:val="0"/>
                <w:i w:val="0"/>
                <w:color w:val="10192A"/>
                <w:sz w:val="17"/>
                <w:u w:val="none"/>
              </w:rPr>
              <w:t>A written negotiation strategy for each offer.</w:t>
            </w:r>
          </w:p>
        </w:tc>
      </w:tr>
      <w:tr>
        <w:trPr>
          <w:cantSplit/>
        </w:trPr>
        <w:tc>
          <w:tcPr>
            <w:tcW w:type="dxa" w:w="10091"/>
            <w:tcBorders>
              <w:top w:val="nil"/>
              <w:left w:val="nil"/>
              <w:bottom w:val="single" w:sz="4" w:space="0" w:color="DCE3ED"/>
              <w:right w:val="nil"/>
            </w:tcBorders>
            <w:tcMar>
              <w:top w:w="132" w:type="dxa"/>
              <w:left w:w="184" w:type="dxa"/>
              <w:bottom w:w="132" w:type="dxa"/>
              <w:right w:w="184"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2B0CE"/>
                <w:sz w:val="19"/>
                <w:u w:val="none"/>
              </w:rPr>
              <w:t xml:space="preserve">☐  </w:t>
            </w:r>
            <w:r>
              <w:rPr>
                <w:rFonts w:ascii="Calibri" w:hAnsi="Calibri" w:cs="Calibri" w:eastAsia="Calibri"/>
                <w:b w:val="0"/>
                <w:i w:val="0"/>
                <w:color w:val="10192A"/>
                <w:sz w:val="17"/>
                <w:u w:val="none"/>
              </w:rPr>
              <w:t>A post-purchase plan within 14 days of settlement.</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71527"/>
          <w:spacing w:val="12"/>
          <w:sz w:val="34"/>
          <w:u w:val="none"/>
        </w:rPr>
        <w:t>Your team</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701"/>
        <w:gridCol w:w="8391"/>
      </w:tblGrid>
      <w:tr>
        <w:trPr>
          <w:cantSplit/>
        </w:trPr>
        <w:tc>
          <w:tcPr>
            <w:tcW w:type="dxa" w:w="1701"/>
            <w:tcBorders>
              <w:top w:val="single" w:sz="4" w:space="0" w:color="C2CDDC"/>
              <w:left w:val="single" w:sz="4" w:space="0" w:color="C2CDDC"/>
              <w:bottom w:val="single" w:sz="4" w:space="0" w:color="C2CDDC"/>
              <w:right w:val="single" w:sz="4" w:space="0" w:color="C2CDDC"/>
            </w:tcBorders>
            <w:shd w:val="clear" w:color="auto" w:fill="EDF1F7"/>
            <w:tcMar>
              <w:top w:w="400" w:type="dxa"/>
              <w:left w:w="90" w:type="dxa"/>
              <w:bottom w:w="400" w:type="dxa"/>
              <w:right w:w="90" w:type="dxa"/>
            </w:tcMar>
          </w:tcPr>
          <w:p>
            <w:pPr>
              <w:keepNext w:val="0"/>
              <w:keepLines/>
              <w:pageBreakBefore w:val="0"/>
              <w:widowControl w:val="1"/>
              <w:spacing w:before="0" w:after="0"/>
              <w:jc w:val="center"/>
            </w:pPr>
            <w:r>
              <w:rPr>
                <w:rFonts w:ascii="Calibri" w:hAnsi="Calibri" w:cs="Calibri" w:eastAsia="Calibri"/>
                <w:b/>
                <w:i w:val="0"/>
                <w:caps w:val="1"/>
                <w:color w:val="8493A8"/>
                <w:spacing w:val="24"/>
                <w:sz w:val="14"/>
                <w:u w:val="none"/>
              </w:rPr>
              <w:t>PHOTO</w:t>
            </w:r>
          </w:p>
        </w:tc>
        <w:tc>
          <w:tcPr>
            <w:tcW w:type="dxa" w:w="8391"/>
            <w:tcBorders>
              <w:top w:val="single" w:sz="4" w:space="0" w:color="DCE3ED"/>
              <w:left w:val="nil"/>
              <w:bottom w:val="single" w:sz="4" w:space="0" w:color="DCE3ED"/>
              <w:right w:val="single" w:sz="4" w:space="0" w:color="DCE3ED"/>
            </w:tcBorders>
            <w:shd w:val="clear" w:color="auto" w:fill="F7F9FC"/>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12B0CE"/>
                <w:spacing w:val="52"/>
                <w:sz w:val="15"/>
                <w:u w:val="none"/>
              </w:rPr>
              <w:t>Your adviser</w:t>
            </w:r>
          </w:p>
          <w:p>
            <w:pPr>
              <w:keepNext w:val="0"/>
              <w:keepLines/>
              <w:pageBreakBefore w:val="0"/>
              <w:widowControl w:val="1"/>
              <w:spacing w:before="0" w:after="20"/>
            </w:pPr>
            <w:r>
              <w:rPr>
                <w:rFonts w:ascii="Georgia" w:hAnsi="Georgia" w:cs="Georgia" w:eastAsia="Georgia"/>
                <w:b/>
                <w:i w:val="0"/>
                <w:color w:val="071527"/>
                <w:sz w:val="21"/>
                <w:u w:val="none"/>
              </w:rPr>
              <w:t>A. Nguyen</w:t>
            </w:r>
          </w:p>
          <w:p>
            <w:pPr>
              <w:keepNext w:val="0"/>
              <w:keepLines/>
              <w:pageBreakBefore w:val="0"/>
              <w:widowControl w:val="1"/>
              <w:spacing w:before="0" w:after="100"/>
            </w:pPr>
            <w:r>
              <w:rPr>
                <w:rFonts w:ascii="Calibri" w:hAnsi="Calibri" w:cs="Calibri" w:eastAsia="Calibri"/>
                <w:b w:val="0"/>
                <w:i w:val="0"/>
                <w:color w:val="4C5B73"/>
                <w:sz w:val="17"/>
                <w:u w:val="none"/>
              </w:rPr>
              <w:t>Senior Adviser   ›   Licensed agent</w:t>
            </w:r>
          </w:p>
          <w:p>
            <w:pPr>
              <w:keepNext w:val="0"/>
              <w:keepLines/>
              <w:pageBreakBefore w:val="0"/>
              <w:widowControl w:val="1"/>
              <w:spacing w:before="0" w:after="0" w:line="355" w:lineRule="auto"/>
            </w:pPr>
            <w:r>
              <w:rPr>
                <w:rFonts w:ascii="Calibri" w:hAnsi="Calibri" w:cs="Calibri" w:eastAsia="Calibri"/>
                <w:b w:val="0"/>
                <w:i w:val="0"/>
                <w:color w:val="10192A"/>
                <w:sz w:val="17"/>
                <w:u w:val="none"/>
              </w:rPr>
              <w:t>Leads the engagement. Eighteen years in buyer advocacy across the lower north shore, with a particular focus on established stock and off-market acquisition.</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55" w:lineRule="auto"/>
              <w:ind w:left="200" w:hanging="200"/>
            </w:pPr>
            <w:r>
              <w:rPr>
                <w:rFonts w:ascii="Calibri" w:hAnsi="Calibri" w:cs="Calibri" w:eastAsia="Calibri"/>
                <w:b/>
                <w:i w:val="0"/>
                <w:color w:val="12B0CE"/>
                <w:sz w:val="17"/>
                <w:u w:val="none"/>
              </w:rPr>
              <w:t xml:space="preserve">•  </w:t>
            </w:r>
            <w:r>
              <w:rPr>
                <w:rFonts w:ascii="Calibri" w:hAnsi="Calibri" w:cs="Calibri" w:eastAsia="Calibri"/>
                <w:b w:val="0"/>
                <w:i w:val="0"/>
                <w:color w:val="10192A"/>
                <w:sz w:val="17"/>
                <w:u w:val="none"/>
              </w:rPr>
              <w:t>Licensed real estate agent (NSW)</w:t>
            </w:r>
          </w:p>
          <w:p>
            <w:pPr>
              <w:keepNext w:val="0"/>
              <w:keepLines/>
              <w:pageBreakBefore w:val="0"/>
              <w:widowControl w:val="1"/>
              <w:spacing w:before="80" w:after="0" w:line="355" w:lineRule="auto"/>
              <w:ind w:left="200" w:hanging="200"/>
            </w:pPr>
            <w:r>
              <w:rPr>
                <w:rFonts w:ascii="Calibri" w:hAnsi="Calibri" w:cs="Calibri" w:eastAsia="Calibri"/>
                <w:b/>
                <w:i w:val="0"/>
                <w:color w:val="12B0CE"/>
                <w:sz w:val="17"/>
                <w:u w:val="none"/>
              </w:rPr>
              <w:t xml:space="preserve">•  </w:t>
            </w:r>
            <w:r>
              <w:rPr>
                <w:rFonts w:ascii="Calibri" w:hAnsi="Calibri" w:cs="Calibri" w:eastAsia="Calibri"/>
                <w:b w:val="0"/>
                <w:i w:val="0"/>
                <w:color w:val="10192A"/>
                <w:sz w:val="17"/>
                <w:u w:val="none"/>
              </w:rPr>
              <w:t>Member, Real Estate Buyers Agents Association</w:t>
            </w:r>
          </w:p>
          <w:p>
            <w:pPr>
              <w:keepNext w:val="0"/>
              <w:keepLines/>
              <w:pageBreakBefore w:val="0"/>
              <w:widowControl w:val="1"/>
              <w:spacing w:before="80" w:after="0" w:line="355" w:lineRule="auto"/>
              <w:ind w:left="200" w:hanging="200"/>
            </w:pPr>
            <w:r>
              <w:rPr>
                <w:rFonts w:ascii="Calibri" w:hAnsi="Calibri" w:cs="Calibri" w:eastAsia="Calibri"/>
                <w:b/>
                <w:i w:val="0"/>
                <w:color w:val="12B0CE"/>
                <w:sz w:val="17"/>
                <w:u w:val="none"/>
              </w:rPr>
              <w:t xml:space="preserve">•  </w:t>
            </w:r>
            <w:r>
              <w:rPr>
                <w:rFonts w:ascii="Calibri" w:hAnsi="Calibri" w:cs="Calibri" w:eastAsia="Calibri"/>
                <w:b w:val="0"/>
                <w:i w:val="0"/>
                <w:color w:val="10192A"/>
                <w:sz w:val="17"/>
                <w:u w:val="none"/>
              </w:rPr>
              <w:t>310 acquisitions completed</w:t>
            </w:r>
          </w:p>
          <w:p>
            <w:pPr>
              <w:keepNext w:val="0"/>
              <w:keepLines/>
              <w:pageBreakBefore w:val="0"/>
              <w:widowControl w:val="1"/>
              <w:spacing w:before="120" w:after="0"/>
            </w:pPr>
            <w:r>
              <w:rPr>
                <w:rFonts w:ascii="Calibri" w:hAnsi="Calibri" w:cs="Calibri" w:eastAsia="Calibri"/>
                <w:b w:val="0"/>
                <w:i w:val="0"/>
                <w:color w:val="8493A8"/>
                <w:sz w:val="14"/>
                <w:u w:val="none"/>
              </w:rPr>
              <w:t>a.nguyen@example.com.au   ·   (02) 8000 1234</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701"/>
        <w:gridCol w:w="8391"/>
      </w:tblGrid>
      <w:tr>
        <w:trPr>
          <w:cantSplit/>
        </w:trPr>
        <w:tc>
          <w:tcPr>
            <w:tcW w:type="dxa" w:w="1701"/>
            <w:tcBorders>
              <w:top w:val="single" w:sz="4" w:space="0" w:color="C2CDDC"/>
              <w:left w:val="single" w:sz="4" w:space="0" w:color="C2CDDC"/>
              <w:bottom w:val="single" w:sz="4" w:space="0" w:color="C2CDDC"/>
              <w:right w:val="single" w:sz="4" w:space="0" w:color="C2CDDC"/>
            </w:tcBorders>
            <w:shd w:val="clear" w:color="auto" w:fill="EDF1F7"/>
            <w:tcMar>
              <w:top w:w="400" w:type="dxa"/>
              <w:left w:w="90" w:type="dxa"/>
              <w:bottom w:w="400" w:type="dxa"/>
              <w:right w:w="90" w:type="dxa"/>
            </w:tcMar>
          </w:tcPr>
          <w:p>
            <w:pPr>
              <w:keepNext w:val="0"/>
              <w:keepLines/>
              <w:pageBreakBefore w:val="0"/>
              <w:widowControl w:val="1"/>
              <w:spacing w:before="0" w:after="0"/>
              <w:jc w:val="center"/>
            </w:pPr>
            <w:r>
              <w:rPr>
                <w:rFonts w:ascii="Calibri" w:hAnsi="Calibri" w:cs="Calibri" w:eastAsia="Calibri"/>
                <w:b/>
                <w:i w:val="0"/>
                <w:caps w:val="1"/>
                <w:color w:val="8493A8"/>
                <w:spacing w:val="24"/>
                <w:sz w:val="14"/>
                <w:u w:val="none"/>
              </w:rPr>
              <w:t>PHOTO</w:t>
            </w:r>
          </w:p>
        </w:tc>
        <w:tc>
          <w:tcPr>
            <w:tcW w:type="dxa" w:w="8391"/>
            <w:tcBorders>
              <w:top w:val="single" w:sz="4" w:space="0" w:color="DCE3ED"/>
              <w:left w:val="nil"/>
              <w:bottom w:val="single" w:sz="4" w:space="0" w:color="DCE3ED"/>
              <w:right w:val="single" w:sz="4" w:space="0" w:color="DCE3ED"/>
            </w:tcBorders>
            <w:shd w:val="clear" w:color="auto" w:fill="F7F9FC"/>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12B0CE"/>
                <w:spacing w:val="52"/>
                <w:sz w:val="15"/>
                <w:u w:val="none"/>
              </w:rPr>
              <w:t>Your adviser</w:t>
            </w:r>
          </w:p>
          <w:p>
            <w:pPr>
              <w:keepNext w:val="0"/>
              <w:keepLines/>
              <w:pageBreakBefore w:val="0"/>
              <w:widowControl w:val="1"/>
              <w:spacing w:before="0" w:after="20"/>
            </w:pPr>
            <w:r>
              <w:rPr>
                <w:rFonts w:ascii="Georgia" w:hAnsi="Georgia" w:cs="Georgia" w:eastAsia="Georgia"/>
                <w:b/>
                <w:i w:val="0"/>
                <w:color w:val="071527"/>
                <w:sz w:val="21"/>
                <w:u w:val="none"/>
              </w:rPr>
              <w:t>A. Nguyen</w:t>
            </w:r>
          </w:p>
          <w:p>
            <w:pPr>
              <w:keepNext w:val="0"/>
              <w:keepLines/>
              <w:pageBreakBefore w:val="0"/>
              <w:widowControl w:val="1"/>
              <w:spacing w:before="0" w:after="100"/>
            </w:pPr>
            <w:r>
              <w:rPr>
                <w:rFonts w:ascii="Calibri" w:hAnsi="Calibri" w:cs="Calibri" w:eastAsia="Calibri"/>
                <w:b w:val="0"/>
                <w:i w:val="0"/>
                <w:color w:val="4C5B73"/>
                <w:sz w:val="17"/>
                <w:u w:val="none"/>
              </w:rPr>
              <w:t>Senior Adviser   ›   Licensed agent</w:t>
            </w:r>
          </w:p>
          <w:p>
            <w:pPr>
              <w:keepNext w:val="0"/>
              <w:keepLines/>
              <w:pageBreakBefore w:val="0"/>
              <w:widowControl w:val="1"/>
              <w:spacing w:before="0" w:after="0" w:line="355" w:lineRule="auto"/>
            </w:pPr>
            <w:r>
              <w:rPr>
                <w:rFonts w:ascii="Calibri" w:hAnsi="Calibri" w:cs="Calibri" w:eastAsia="Calibri"/>
                <w:b w:val="0"/>
                <w:i w:val="0"/>
                <w:color w:val="10192A"/>
                <w:sz w:val="17"/>
                <w:u w:val="none"/>
              </w:rPr>
              <w:t>Runs research and due diligence. Prepares the analysis behind every shortlist and coordinates the investigation on every property that reaches an offer.</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55" w:lineRule="auto"/>
              <w:ind w:left="200" w:hanging="200"/>
            </w:pPr>
            <w:r>
              <w:rPr>
                <w:rFonts w:ascii="Calibri" w:hAnsi="Calibri" w:cs="Calibri" w:eastAsia="Calibri"/>
                <w:b/>
                <w:i w:val="0"/>
                <w:color w:val="12B0CE"/>
                <w:sz w:val="17"/>
                <w:u w:val="none"/>
              </w:rPr>
              <w:t xml:space="preserve">•  </w:t>
            </w:r>
            <w:r>
              <w:rPr>
                <w:rFonts w:ascii="Calibri" w:hAnsi="Calibri" w:cs="Calibri" w:eastAsia="Calibri"/>
                <w:b w:val="0"/>
                <w:i w:val="0"/>
                <w:color w:val="10192A"/>
                <w:sz w:val="17"/>
                <w:u w:val="none"/>
              </w:rPr>
              <w:t>Certified Practising Valuer</w:t>
            </w:r>
          </w:p>
          <w:p>
            <w:pPr>
              <w:keepNext w:val="0"/>
              <w:keepLines/>
              <w:pageBreakBefore w:val="0"/>
              <w:widowControl w:val="1"/>
              <w:spacing w:before="80" w:after="0" w:line="355" w:lineRule="auto"/>
              <w:ind w:left="200" w:hanging="200"/>
            </w:pPr>
            <w:r>
              <w:rPr>
                <w:rFonts w:ascii="Calibri" w:hAnsi="Calibri" w:cs="Calibri" w:eastAsia="Calibri"/>
                <w:b/>
                <w:i w:val="0"/>
                <w:color w:val="12B0CE"/>
                <w:sz w:val="17"/>
                <w:u w:val="none"/>
              </w:rPr>
              <w:t xml:space="preserve">•  </w:t>
            </w:r>
            <w:r>
              <w:rPr>
                <w:rFonts w:ascii="Calibri" w:hAnsi="Calibri" w:cs="Calibri" w:eastAsia="Calibri"/>
                <w:b w:val="0"/>
                <w:i w:val="0"/>
                <w:color w:val="10192A"/>
                <w:sz w:val="17"/>
                <w:u w:val="none"/>
              </w:rPr>
              <w:t>Nine years in property research</w:t>
            </w:r>
          </w:p>
          <w:p>
            <w:pPr>
              <w:keepNext w:val="0"/>
              <w:keepLines/>
              <w:pageBreakBefore w:val="0"/>
              <w:widowControl w:val="1"/>
              <w:spacing w:before="120" w:after="0"/>
            </w:pPr>
            <w:r>
              <w:rPr>
                <w:rFonts w:ascii="Calibri" w:hAnsi="Calibri" w:cs="Calibri" w:eastAsia="Calibri"/>
                <w:b w:val="0"/>
                <w:i w:val="0"/>
                <w:color w:val="8493A8"/>
                <w:sz w:val="14"/>
                <w:u w:val="none"/>
              </w:rPr>
              <w:t>a.nguyen@example.com.au   ·   (02) 8000 1234</w:t>
            </w:r>
          </w:p>
        </w:tc>
      </w:tr>
    </w:tbl>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Indicative timeline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454"/>
        <w:gridCol w:w="7620"/>
      </w:tblGrid>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Week 1</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Engagement and brief</w:t>
            </w:r>
          </w:p>
          <w:p>
            <w:pPr>
              <w:keepNext w:val="0"/>
              <w:keepLines/>
              <w:pageBreakBefore w:val="0"/>
              <w:widowControl w:val="1"/>
              <w:spacing w:before="0" w:after="0" w:line="293" w:lineRule="auto"/>
            </w:pPr>
            <w:r>
              <w:rPr>
                <w:rFonts w:ascii="Calibri" w:hAnsi="Calibri" w:cs="Calibri" w:eastAsia="Calibri"/>
                <w:b w:val="0"/>
                <w:i w:val="0"/>
                <w:color w:val="4C5B73"/>
                <w:sz w:val="17"/>
                <w:u w:val="none"/>
              </w:rPr>
              <w:t>Two sessions; written brief agreed</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Weeks 2–24</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Search and shortlist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Weekly reporting</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On shortlist</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Analysis and due diligence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Per property</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On agreement</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Negotiate and exchange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Offer strategy agreed in writing</w:t>
            </w:r>
          </w:p>
        </w:tc>
      </w:tr>
      <w:tr>
        <w:trPr>
          <w:cantSplit/>
          <w:trHeight w:val="567" w:hRule="atLeast"/>
        </w:trPr>
        <w:tc>
          <w:tcPr>
            <w:tcW w:type="dxa" w:w="2018"/>
            <w:tcMar>
              <w:top w:w="132" w:type="dxa"/>
              <w:left w:w="184" w:type="dxa"/>
              <w:bottom w:w="132" w:type="dxa"/>
              <w:right w:w="184"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2B0CE"/>
                <w:spacing w:val="20"/>
                <w:sz w:val="15"/>
                <w:u w:val="none"/>
              </w:rPr>
              <w:t>Post exchange</w:t>
            </w:r>
          </w:p>
        </w:tc>
        <w:tc>
          <w:tcPr>
            <w:tcW w:type="dxa" w:w="454"/>
            <w:tcBorders>
              <w:top w:val="nil"/>
              <w:left w:val="single" w:sz="14" w:space="0" w:color="12B0CE"/>
              <w:bottom w:val="nil"/>
              <w:right w:val="nil"/>
            </w:tcBorders>
            <w:shd w:val="clear" w:color="auto" w:fill="D5F1F7"/>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132" w:type="dxa"/>
              <w:left w:w="184" w:type="dxa"/>
              <w:bottom w:w="132" w:type="dxa"/>
              <w:right w:w="184" w:type="dxa"/>
            </w:tcMar>
            <w:vAlign w:val="top"/>
          </w:tcPr>
          <w:p>
            <w:pPr>
              <w:keepNext w:val="0"/>
              <w:keepLines/>
              <w:pageBreakBefore w:val="0"/>
              <w:widowControl w:val="1"/>
              <w:spacing w:before="0" w:after="20" w:line="288" w:lineRule="auto"/>
            </w:pPr>
            <w:r>
              <w:rPr>
                <w:rFonts w:ascii="Calibri" w:hAnsi="Calibri" w:cs="Calibri" w:eastAsia="Calibri"/>
                <w:b/>
                <w:i w:val="0"/>
                <w:color w:val="071527"/>
                <w:sz w:val="19"/>
                <w:u w:val="none"/>
              </w:rPr>
              <w:t>Settlement and plan</w:t>
            </w:r>
          </w:p>
          <w:p>
            <w:pPr>
              <w:keepNext w:val="0"/>
              <w:keepLines/>
              <w:pageBreakBefore w:val="0"/>
              <w:widowControl w:val="1"/>
              <w:spacing w:before="0" w:after="0" w:line="293" w:lineRule="auto"/>
            </w:pPr>
            <w:r>
              <w:rPr>
                <w:rFonts w:ascii="Calibri" w:hAnsi="Calibri" w:cs="Calibri" w:eastAsia="Calibri"/>
                <w:b w:val="0"/>
                <w:i w:val="0"/>
                <w:color w:val="4C5B73"/>
                <w:sz w:val="17"/>
                <w:u w:val="none"/>
              </w:rPr>
              <w:t>To settlement plus 14 days</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71527"/>
          <w:spacing w:val="12"/>
          <w:sz w:val="34"/>
          <w:u w:val="none"/>
        </w:rPr>
        <w:t>Investment</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52"/>
          <w:sz w:val="15"/>
          <w:u w:val="none"/>
        </w:rPr>
        <w:t>Fees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ees"/>
        <w:tblDescription w:val="Columns: Item, Basis, Amount, When payable"/>
      </w:tblPr>
      <w:tblGrid>
        <w:gridCol w:w="2494"/>
        <w:gridCol w:w="3515"/>
        <w:gridCol w:w="1928"/>
        <w:gridCol w:w="2154"/>
      </w:tblGrid>
      <w:tr>
        <w:trPr>
          <w:cantSplit/>
          <w:trHeight w:val="420" w:hRule="atLeast"/>
          <w:tblHeader/>
        </w:trPr>
        <w:tc>
          <w:tcPr>
            <w:tcW w:type="dxa" w:w="249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3515"/>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Basis</w:t>
            </w:r>
          </w:p>
        </w:tc>
        <w:tc>
          <w:tcPr>
            <w:tcW w:type="dxa" w:w="1928"/>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c>
          <w:tcPr>
            <w:tcW w:type="dxa" w:w="2154"/>
            <w:tcBorders>
              <w:top w:val="nil"/>
              <w:left w:val="nil"/>
              <w:bottom w:val="single" w:sz="8" w:space="0" w:color="12B0CE"/>
              <w:right w:val="nil"/>
            </w:tcBorders>
            <w:shd w:val="clear" w:color="auto" w:fill="071527"/>
            <w:tcMar>
              <w:top w:w="132" w:type="dxa"/>
              <w:left w:w="184" w:type="dxa"/>
              <w:bottom w:w="132" w:type="dxa"/>
              <w:right w:w="184"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When payable</w:t>
            </w:r>
          </w:p>
        </w:tc>
      </w:tr>
      <w:tr>
        <w:trPr>
          <w:cantSplit/>
          <w:trHeight w:val="397" w:hRule="atLeast"/>
        </w:trPr>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Retainer</w:t>
            </w:r>
          </w:p>
        </w:tc>
        <w:tc>
          <w:tcPr>
            <w:tcW w:type="dxa" w:w="3515"/>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Fixed, six months</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$8,800</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On engagement</w:t>
            </w:r>
          </w:p>
        </w:tc>
      </w:tr>
      <w:tr>
        <w:trPr>
          <w:cantSplit/>
          <w:trHeight w:val="397" w:hRule="atLeast"/>
        </w:trPr>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Success fee</w:t>
            </w:r>
          </w:p>
        </w:tc>
        <w:tc>
          <w:tcPr>
            <w:tcW w:type="dxa" w:w="3515"/>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1.65% of purchase price</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Est. $14,270</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On exchange</w:t>
            </w:r>
          </w:p>
        </w:tc>
      </w:tr>
      <w:tr>
        <w:trPr>
          <w:cantSplit/>
          <w:trHeight w:val="397" w:hRule="atLeast"/>
        </w:trPr>
        <w:tc>
          <w:tcPr>
            <w:tcW w:type="dxa" w:w="249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Disbursements</w:t>
            </w:r>
          </w:p>
        </w:tc>
        <w:tc>
          <w:tcPr>
            <w:tcW w:type="dxa" w:w="3515"/>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At cost, pre-approved above $250</w:t>
            </w:r>
          </w:p>
        </w:tc>
        <w:tc>
          <w:tcPr>
            <w:tcW w:type="dxa" w:w="1928"/>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val="0"/>
                <w:i w:val="0"/>
                <w:color w:val="10192A"/>
                <w:sz w:val="17"/>
                <w:u w:val="none"/>
              </w:rPr>
              <w:t>Est. $1,400</w:t>
            </w:r>
          </w:p>
        </w:tc>
        <w:tc>
          <w:tcPr>
            <w:tcW w:type="dxa" w:w="2154"/>
            <w:tcBorders>
              <w:top w:val="nil"/>
              <w:left w:val="nil"/>
              <w:bottom w:val="single" w:sz="4" w:space="0" w:color="DCE3ED"/>
              <w:right w:val="nil"/>
            </w:tcBorders>
            <w:shd w:val="clear" w:color="auto" w:fill="FFFFFF"/>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 incurred</w:t>
            </w:r>
          </w:p>
        </w:tc>
      </w:tr>
      <w:tr>
        <w:trPr>
          <w:cantSplit/>
          <w:trHeight w:val="397" w:hRule="atLeast"/>
        </w:trPr>
        <w:tc>
          <w:tcPr>
            <w:tcW w:type="dxa" w:w="2494"/>
            <w:tcBorders>
              <w:top w:val="nil"/>
              <w:left w:val="nil"/>
              <w:bottom w:val="single" w:sz="8" w:space="0" w:color="12B0CE"/>
              <w:right w:val="nil"/>
            </w:tcBorders>
            <w:shd w:val="clear" w:color="auto" w:fill="D5F1F7"/>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i w:val="0"/>
                <w:color w:val="071527"/>
                <w:sz w:val="17"/>
                <w:u w:val="none"/>
              </w:rPr>
              <w:t>Estimated total</w:t>
            </w:r>
          </w:p>
        </w:tc>
        <w:tc>
          <w:tcPr>
            <w:tcW w:type="dxa" w:w="3515"/>
            <w:tcBorders>
              <w:top w:val="nil"/>
              <w:left w:val="nil"/>
              <w:bottom w:val="single" w:sz="8" w:space="0" w:color="12B0CE"/>
              <w:right w:val="nil"/>
            </w:tcBorders>
            <w:shd w:val="clear" w:color="auto" w:fill="D5F1F7"/>
            <w:tcMar>
              <w:top w:w="132" w:type="dxa"/>
              <w:left w:w="184" w:type="dxa"/>
              <w:bottom w:w="132" w:type="dxa"/>
              <w:right w:w="184" w:type="dxa"/>
            </w:tcMar>
            <w:vAlign w:val="top"/>
          </w:tcPr>
          <w:p>
            <w:pPr>
              <w:keepNext w:val="0"/>
              <w:keepLines/>
              <w:pageBreakBefore w:val="0"/>
              <w:widowControl w:val="1"/>
              <w:spacing w:before="0" w:after="0" w:line="293" w:lineRule="auto"/>
            </w:pPr>
            <w:r>
              <w:rPr>
                <w:rFonts w:ascii="Calibri" w:hAnsi="Calibri" w:cs="Calibri" w:eastAsia="Calibri"/>
                <w:b/>
                <w:i w:val="0"/>
                <w:color w:val="071527"/>
                <w:sz w:val="17"/>
                <w:u w:val="none"/>
              </w:rPr>
              <w:t>On an $865,000 acquisition</w:t>
            </w:r>
          </w:p>
        </w:tc>
        <w:tc>
          <w:tcPr>
            <w:tcW w:type="dxa" w:w="1928"/>
            <w:tcBorders>
              <w:top w:val="nil"/>
              <w:left w:val="nil"/>
              <w:bottom w:val="single" w:sz="8" w:space="0" w:color="12B0CE"/>
              <w:right w:val="nil"/>
            </w:tcBorders>
            <w:shd w:val="clear" w:color="auto" w:fill="D5F1F7"/>
            <w:tcMar>
              <w:top w:w="132" w:type="dxa"/>
              <w:left w:w="184" w:type="dxa"/>
              <w:bottom w:w="132" w:type="dxa"/>
              <w:right w:w="184" w:type="dxa"/>
            </w:tcMar>
            <w:vAlign w:val="top"/>
          </w:tcPr>
          <w:p>
            <w:pPr>
              <w:keepNext w:val="0"/>
              <w:keepLines/>
              <w:pageBreakBefore w:val="0"/>
              <w:widowControl w:val="1"/>
              <w:spacing w:before="0" w:after="0" w:line="293" w:lineRule="auto"/>
              <w:jc w:val="right"/>
            </w:pPr>
            <w:r>
              <w:rPr>
                <w:rFonts w:ascii="Georgia" w:hAnsi="Georgia" w:cs="Georgia" w:eastAsia="Georgia"/>
                <w:b/>
                <w:i w:val="0"/>
                <w:color w:val="071527"/>
                <w:sz w:val="17"/>
                <w:u w:val="none"/>
              </w:rPr>
              <w:t>$24,470</w:t>
            </w:r>
          </w:p>
        </w:tc>
        <w:tc>
          <w:tcPr>
            <w:tcW w:type="dxa" w:w="2154"/>
            <w:tcBorders>
              <w:top w:val="nil"/>
              <w:left w:val="nil"/>
              <w:bottom w:val="single" w:sz="8" w:space="0" w:color="12B0CE"/>
              <w:right w:val="nil"/>
            </w:tcBorders>
            <w:shd w:val="clear" w:color="auto" w:fill="D5F1F7"/>
            <w:tcMar>
              <w:top w:w="132" w:type="dxa"/>
              <w:left w:w="184" w:type="dxa"/>
              <w:bottom w:w="132" w:type="dxa"/>
              <w:right w:w="184"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All amounts include GST. The retainer is credited against the success fee, so the total does not change if we find the property in week three.</w:t>
      </w:r>
    </w:p>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B4CDF3"/>
              <w:left w:val="single" w:sz="18" w:space="0" w:color="1554AE"/>
              <w:bottom w:val="single" w:sz="6" w:space="0" w:color="B4CDF3"/>
              <w:right w:val="single" w:sz="6" w:space="0" w:color="B4CDF3"/>
            </w:tcBorders>
            <w:shd w:val="clear" w:color="auto" w:fill="FFFFFF"/>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1554AE"/>
                <w:spacing w:val="52"/>
                <w:sz w:val="15"/>
                <w:u w:val="none"/>
              </w:rPr>
              <w:t>Why us</w:t>
            </w:r>
          </w:p>
          <w:p>
            <w:pPr>
              <w:keepNext w:val="0"/>
              <w:keepLines/>
              <w:pageBreakBefore w:val="0"/>
              <w:widowControl w:val="1"/>
              <w:spacing w:before="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310 acquisitions completed; 41% sourced off market.</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Median time from brief to exchange, last 24 months: 11 weeks.</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Average purchase price against our own pre-offer assessment: 2.1% below.</w:t>
            </w:r>
          </w:p>
          <w:p>
            <w:pPr>
              <w:keepNext w:val="0"/>
              <w:keepLines/>
              <w:pageBreakBefore w:val="0"/>
              <w:widowControl w:val="1"/>
              <w:spacing w:before="80" w:after="0" w:line="355"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Client references available on request, including three in your corridor.</w:t>
            </w: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2B0CE"/>
              <w:bottom w:val="single" w:sz="6" w:space="0" w:color="DCE3ED"/>
              <w:right w:val="single" w:sz="6" w:space="0" w:color="DCE3ED"/>
            </w:tcBorders>
            <w:shd w:val="clear" w:color="auto" w:fill="FFFFFF"/>
            <w:tcMar>
              <w:top w:w="237" w:type="dxa"/>
              <w:left w:w="277" w:type="dxa"/>
              <w:bottom w:w="237" w:type="dxa"/>
              <w:right w:w="277" w:type="dxa"/>
            </w:tcMar>
          </w:tcPr>
          <w:p>
            <w:pPr>
              <w:keepNext/>
              <w:keepLines/>
              <w:pageBreakBefore w:val="0"/>
              <w:widowControl w:val="1"/>
              <w:spacing w:before="0" w:after="80"/>
            </w:pPr>
            <w:r>
              <w:rPr>
                <w:rFonts w:ascii="Calibri" w:hAnsi="Calibri" w:cs="Calibri" w:eastAsia="Calibri"/>
                <w:b/>
                <w:i w:val="0"/>
                <w:caps w:val="1"/>
                <w:color w:val="12B0CE"/>
                <w:spacing w:val="52"/>
                <w:sz w:val="15"/>
                <w:u w:val="none"/>
              </w:rPr>
              <w:t>Case study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270"/>
              <w:gridCol w:w="7188"/>
            </w:tblGrid>
            <w:tr>
              <w:trPr>
                <w:cantSplit/>
                <w:trHeight w:val="431" w:hRule="atLeast"/>
              </w:trPr>
              <w:tc>
                <w:tcPr>
                  <w:tcW w:type="dxa" w:w="2270"/>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Brief</w:t>
                  </w:r>
                </w:p>
              </w:tc>
              <w:tc>
                <w:tcPr>
                  <w:tcW w:type="dxa" w:w="7188"/>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Investment house, 500m²+, within 12km, yield above 4.2%</w:t>
                  </w:r>
                </w:p>
              </w:tc>
            </w:tr>
            <w:tr>
              <w:trPr>
                <w:cantSplit/>
                <w:trHeight w:val="431" w:hRule="atLeast"/>
              </w:trPr>
              <w:tc>
                <w:tcPr>
                  <w:tcW w:type="dxa" w:w="2270"/>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Constraint</w:t>
                  </w:r>
                </w:p>
              </w:tc>
              <w:tc>
                <w:tcPr>
                  <w:tcW w:type="dxa" w:w="7188"/>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Client had searched for nine months without success</w:t>
                  </w:r>
                </w:p>
              </w:tc>
            </w:tr>
            <w:tr>
              <w:trPr>
                <w:cantSplit/>
                <w:trHeight w:val="431" w:hRule="atLeast"/>
              </w:trPr>
              <w:tc>
                <w:tcPr>
                  <w:tcW w:type="dxa" w:w="2270"/>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What we did</w:t>
                  </w:r>
                </w:p>
              </w:tc>
              <w:tc>
                <w:tcPr>
                  <w:tcW w:type="dxa" w:w="7188"/>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Narrowed to two corridors; sourced off market in week seven</w:t>
                  </w:r>
                </w:p>
              </w:tc>
            </w:tr>
            <w:tr>
              <w:trPr>
                <w:cantSplit/>
                <w:trHeight w:val="431" w:hRule="atLeast"/>
              </w:trPr>
              <w:tc>
                <w:tcPr>
                  <w:tcW w:type="dxa" w:w="2270"/>
                  <w:tcBorders>
                    <w:top w:val="single" w:sz="4" w:space="0" w:color="FFFFFF"/>
                    <w:left w:val="nil"/>
                    <w:bottom w:val="single" w:sz="4" w:space="0" w:color="FFFFFF"/>
                    <w:right w:val="nil"/>
                  </w:tcBorders>
                  <w:shd w:val="clear" w:color="auto" w:fill="EDF1F7"/>
                  <w:tcMar>
                    <w:top w:w="132" w:type="dxa"/>
                    <w:left w:w="184" w:type="dxa"/>
                    <w:bottom w:w="132" w:type="dxa"/>
                    <w:right w:w="184"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Outcome</w:t>
                  </w:r>
                </w:p>
              </w:tc>
              <w:tc>
                <w:tcPr>
                  <w:tcW w:type="dxa" w:w="7188"/>
                  <w:tcBorders>
                    <w:top w:val="single" w:sz="4" w:space="0" w:color="FFFFFF"/>
                    <w:left w:val="nil"/>
                    <w:bottom w:val="single" w:sz="4" w:space="0" w:color="DCE3ED"/>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Exchanged 3.4% below the vendor's guide; 4.7% gross yield</w:t>
                  </w:r>
                </w:p>
              </w:tc>
            </w:tr>
          </w:tbl>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1</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Accept</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Sign below and return, or tell us what you would like changed.</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2</w:t>
            </w:r>
          </w:p>
        </w:tc>
        <w:tc>
          <w:tcPr>
            <w:tcW w:type="dxa" w:w="2268"/>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Brief</w:t>
            </w:r>
          </w:p>
        </w:tc>
        <w:tc>
          <w:tcPr>
            <w:tcW w:type="dxa" w:w="7143"/>
            <w:tcBorders>
              <w:top w:val="single" w:sz="4" w:space="0" w:color="FFFFFF"/>
              <w:left w:val="nil"/>
              <w:bottom w:val="single" w:sz="4" w:space="0" w:color="FFFFFF"/>
              <w:right w:val="nil"/>
            </w:tcBorders>
            <w:shd w:val="clear" w:color="auto" w:fill="F7F9FC"/>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We book the two briefing sessions within five business days.</w:t>
            </w:r>
          </w:p>
        </w:tc>
      </w:tr>
      <w:tr>
        <w:trPr>
          <w:cantSplit/>
          <w:trHeight w:val="488" w:hRule="atLeast"/>
        </w:trPr>
        <w:tc>
          <w:tcPr>
            <w:tcW w:type="dxa" w:w="680"/>
            <w:tcBorders>
              <w:top w:val="single" w:sz="4" w:space="0" w:color="FFFFFF"/>
              <w:left w:val="nil"/>
              <w:bottom w:val="single" w:sz="4" w:space="0" w:color="FFFFFF"/>
              <w:right w:val="nil"/>
            </w:tcBorders>
            <w:shd w:val="clear" w:color="auto" w:fill="071527"/>
            <w:tcMar>
              <w:top w:w="80" w:type="dxa"/>
              <w:left w:w="40" w:type="dxa"/>
              <w:bottom w:w="80" w:type="dxa"/>
              <w:right w:w="40" w:type="dxa"/>
            </w:tcMar>
            <w:vAlign w:val="center"/>
          </w:tcPr>
          <w:p>
            <w:pPr>
              <w:keepNext w:val="0"/>
              <w:keepLines/>
              <w:pageBreakBefore w:val="0"/>
              <w:widowControl w:val="1"/>
              <w:spacing w:before="0" w:after="0"/>
              <w:jc w:val="center"/>
            </w:pPr>
            <w:r>
              <w:rPr>
                <w:rFonts w:ascii="Georgia" w:hAnsi="Georgia" w:cs="Georgia" w:eastAsia="Georgia"/>
                <w:b/>
                <w:i w:val="0"/>
                <w:color w:val="12B0CE"/>
                <w:sz w:val="21"/>
                <w:u w:val="none"/>
              </w:rPr>
              <w:t>3</w:t>
            </w:r>
          </w:p>
        </w:tc>
        <w:tc>
          <w:tcPr>
            <w:tcW w:type="dxa" w:w="2268"/>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71527"/>
                <w:spacing w:val="22"/>
                <w:sz w:val="16"/>
                <w:u w:val="none"/>
              </w:rPr>
              <w:t>Begin</w:t>
            </w:r>
          </w:p>
        </w:tc>
        <w:tc>
          <w:tcPr>
            <w:tcW w:type="dxa" w:w="7143"/>
            <w:tcBorders>
              <w:top w:val="single" w:sz="4" w:space="0" w:color="FFFFFF"/>
              <w:left w:val="nil"/>
              <w:bottom w:val="single" w:sz="4" w:space="0" w:color="FFFFFF"/>
              <w:right w:val="nil"/>
            </w:tcBorders>
            <w:shd w:val="clear" w:color="auto" w:fill="FFFFFF"/>
            <w:tcMar>
              <w:top w:w="132" w:type="dxa"/>
              <w:left w:w="184" w:type="dxa"/>
              <w:bottom w:w="132" w:type="dxa"/>
              <w:right w:w="184"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The search starts the week the brief is signed.</w:t>
            </w:r>
          </w:p>
        </w:tc>
      </w:tr>
    </w:tbl>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single" w:sz="12" w:space="0" w:color="12B0CE"/>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71527"/>
                <w:spacing w:val="52"/>
                <w:sz w:val="16"/>
                <w:u w:val="none"/>
              </w:rPr>
              <w:t>Accepted by the client</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Full name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c>
          <w:tcPr>
            <w:tcW w:type="dxa" w:w="5046"/>
            <w:tcBorders>
              <w:top w:val="single" w:sz="12" w:space="0" w:color="12B0CE"/>
              <w:left w:val="single" w:sz="4" w:space="0" w:color="DCE3ED"/>
              <w:bottom w:val="single" w:sz="4" w:space="0" w:color="DCE3ED"/>
              <w:right w:val="single" w:sz="4" w:space="0" w:color="DCE3ED"/>
            </w:tcBorders>
            <w:shd w:val="clear" w:color="auto" w:fill="FFFFFF"/>
            <w:tcMar>
              <w:top w:w="170" w:type="dxa"/>
              <w:left w:w="190" w:type="dxa"/>
              <w:bottom w:w="200" w:type="dxa"/>
              <w:right w:w="190" w:type="dxa"/>
            </w:tcMar>
          </w:tcPr>
          <w:p>
            <w:pPr>
              <w:keepNext/>
              <w:keepLines/>
              <w:pageBreakBefore w:val="0"/>
              <w:widowControl w:val="1"/>
              <w:spacing w:before="0" w:after="120"/>
            </w:pPr>
            <w:r>
              <w:rPr>
                <w:rFonts w:ascii="Calibri" w:hAnsi="Calibri" w:cs="Calibri" w:eastAsia="Calibri"/>
                <w:b/>
                <w:i w:val="0"/>
                <w:caps w:val="1"/>
                <w:color w:val="071527"/>
                <w:spacing w:val="52"/>
                <w:sz w:val="16"/>
                <w:u w:val="none"/>
              </w:rPr>
              <w:t>For the organisation</w:t>
            </w:r>
          </w:p>
          <w:p>
            <w:pPr>
              <w:keepNext w:val="0"/>
              <w:keepLines/>
              <w:pageBreakBefore w:val="0"/>
              <w:widowControl w:val="1"/>
              <w:spacing w:before="0" w:after="0" w:line="288" w:lineRule="auto"/>
            </w:pPr>
            <w:r>
              <w:rPr>
                <w:rFonts w:ascii="Calibri" w:hAnsi="Calibri" w:cs="Calibri" w:eastAsia="Calibri"/>
                <w:b/>
                <w:i w:val="0"/>
                <w:caps w:val="1"/>
                <w:color w:val="4C5B73"/>
                <w:spacing w:val="20"/>
                <w:sz w:val="14"/>
                <w:u w:val="none"/>
              </w:rPr>
              <w:t xml:space="preserve">Name   </w:t>
            </w:r>
            <w:r>
              <w:rPr>
                <w:rFonts w:ascii="Calibri" w:hAnsi="Calibri" w:cs="Calibri" w:eastAsia="Calibri"/>
                <w:b w:val="0"/>
                <w:i/>
                <w:color w:val="8493A8"/>
                <w:sz w:val="17"/>
                <w:u w:val="none"/>
              </w:rPr>
              <w:t>{{author.name}}</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Signature   </w:t>
            </w:r>
            <w:r>
              <w:rPr>
                <w:rFonts w:ascii="Calibri" w:hAnsi="Calibri" w:cs="Calibri" w:eastAsia="Calibri"/>
                <w:b w:val="0"/>
                <w:i w:val="0"/>
                <w:color w:val="C2CDDC"/>
                <w:sz w:val="17"/>
                <w:u w:val="none"/>
              </w:rPr>
              <w:t>__________________________</w:t>
            </w:r>
          </w:p>
          <w:p>
            <w:pPr>
              <w:keepNext w:val="0"/>
              <w:keepLines/>
              <w:pageBreakBefore w:val="0"/>
              <w:widowControl w:val="1"/>
              <w:spacing w:before="140" w:after="0" w:line="288" w:lineRule="auto"/>
            </w:pPr>
            <w:r>
              <w:rPr>
                <w:rFonts w:ascii="Calibri" w:hAnsi="Calibri" w:cs="Calibri" w:eastAsia="Calibri"/>
                <w:b/>
                <w:i w:val="0"/>
                <w:caps w:val="1"/>
                <w:color w:val="4C5B73"/>
                <w:spacing w:val="20"/>
                <w:sz w:val="14"/>
                <w:u w:val="none"/>
              </w:rPr>
              <w:t xml:space="preserve">Date   </w:t>
            </w:r>
            <w:r>
              <w:rPr>
                <w:rFonts w:ascii="Calibri" w:hAnsi="Calibri" w:cs="Calibri" w:eastAsia="Calibri"/>
                <w:b w:val="0"/>
                <w:i w:val="0"/>
                <w:color w:val="10192A"/>
                <w:sz w:val="17"/>
                <w:u w:val="none"/>
              </w:rPr>
              <w:t>____ / ____ / ______</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Georgia" w:hAnsi="Georgia" w:cs="Georgia" w:eastAsia="Georgia"/>
          <w:b w:val="0"/>
          <w:i w:val="0"/>
          <w:color w:val="071527"/>
          <w:spacing w:val="12"/>
          <w:sz w:val="34"/>
          <w:u w:val="none"/>
        </w:rPr>
        <w:t>Important information</w:t>
      </w:r>
    </w:p>
    <w:p>
      <w:pPr>
        <w:keepNext/>
        <w:keepLines/>
        <w:pageBreakBefore w:val="0"/>
        <w:widowControl w:val="1"/>
        <w:spacing w:before="0" w:after="100"/>
      </w:pPr>
      <w:r>
        <w:rPr>
          <w:rFonts w:ascii="Calibri" w:hAnsi="Calibri" w:cs="Calibri" w:eastAsia="Calibri"/>
          <w:b/>
          <w:i w:val="0"/>
          <w:caps w:val="1"/>
          <w:color w:val="4C5B73"/>
          <w:spacing w:val="52"/>
          <w:sz w:val="15"/>
          <w:u w:val="none"/>
        </w:rPr>
        <w:t>Disclaimer, privacy and terms</w:t>
      </w:r>
    </w:p>
    <w:p>
      <w:pPr>
        <w:keepNext w:val="0"/>
        <w:keepLines/>
        <w:pageBreakBefore w:val="0"/>
        <w:widowControl w:val="1"/>
        <w:pBdr>
          <w:bottom w:val="single" w:sz="10" w:space="1" w:color="12B0CE"/>
        </w:pBdr>
        <w:spacing w:before="0" w:after="0" w:line="20" w:lineRule="exact"/>
      </w:pPr>
      <w:r>
        <w:rPr>
          <w:sz w:val="2"/>
        </w:rPr>
      </w:r>
    </w:p>
    <w:p>
      <w:pPr>
        <w:keepNext w:val="0"/>
        <w:keepLines/>
        <w:pageBreakBefore w:val="0"/>
        <w:widowControl w:val="1"/>
        <w:spacing w:before="0" w:after="0" w:line="3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Disclaimer</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Privacy</w:t>
      </w:r>
    </w:p>
    <w:p>
      <w:pPr>
        <w:keepNext w:val="0"/>
        <w:keepLines/>
        <w:pageBreakBefore w:val="0"/>
        <w:widowControl w:val="1"/>
        <w:spacing w:before="0" w:after="0" w:line="355"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Terms of use</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Georgia" w:hAnsi="Georgia" w:cs="Georgia" w:eastAsia="Georgia"/>
          <w:b/>
          <w:i w:val="0"/>
          <w:color w:val="071527"/>
          <w:sz w:val="21"/>
          <w:u w:val="none"/>
        </w:rPr>
        <w:t>Validity</w:t>
      </w:r>
    </w:p>
    <w:p>
      <w:pPr>
        <w:keepNext w:val="0"/>
        <w:keepLines/>
        <w:pageBreakBefore w:val="0"/>
        <w:widowControl w:val="1"/>
        <w:spacing w:before="0" w:after="0" w:line="355" w:lineRule="auto"/>
      </w:pPr>
      <w:r>
        <w:rPr>
          <w:rFonts w:ascii="Calibri" w:hAnsi="Calibri" w:cs="Calibri" w:eastAsia="Calibri"/>
          <w:b w:val="0"/>
          <w:i w:val="0"/>
          <w:color w:val="4C5B73"/>
          <w:sz w:val="17"/>
          <w:u w:val="none"/>
        </w:rPr>
        <w:t>This proposal is valid for 30 days from the date on the cover. Fees quoted are estimates where they depend on a purchase price that is not yet known; the basis of calculation is fixed and is stated in the fee table.</w:t>
      </w:r>
    </w:p>
    <w:p>
      <w:pPr>
        <w:keepNext w:val="0"/>
        <w:keepLines/>
        <w:pageBreakBefore w:val="0"/>
        <w:widowControl w:val="1"/>
        <w:spacing w:before="0" w:after="0" w:line="100" w:lineRule="exact"/>
      </w:pPr>
      <w:r>
        <w:rPr>
          <w:sz w:val="2"/>
        </w:rPr>
      </w:r>
    </w:p>
    <w:p>
      <w:pPr>
        <w:keepNext w:val="0"/>
        <w:keepLines/>
        <w:pageBreakBefore w:val="0"/>
        <w:widowControl w:val="1"/>
        <w:spacing w:before="0" w:after="0"/>
      </w:pPr>
      <w:r>
        <w:br w:type="page"/>
      </w:r>
    </w:p>
    <w:p>
      <w:pPr>
        <w:keepNext w:val="0"/>
        <w:keepLines/>
        <w:pageBreakBefore w:val="0"/>
        <w:widowControl w:val="1"/>
        <w:spacing w:before="0" w:after="0" w:line="3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071527"/>
              <w:left w:val="single" w:sz="4" w:space="0" w:color="071527"/>
              <w:bottom w:val="single" w:sz="4" w:space="0" w:color="071527"/>
              <w:right w:val="single" w:sz="4" w:space="0" w:color="071527"/>
            </w:tcBorders>
            <w:shd w:val="clear" w:color="auto" w:fill="071527"/>
            <w:tcMar>
              <w:top w:w="320" w:type="dxa"/>
              <w:left w:w="260" w:type="dxa"/>
              <w:bottom w:w="320" w:type="dxa"/>
              <w:right w:w="260" w:type="dxa"/>
            </w:tcMa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061"/>
            </w:tblGrid>
            <w:tr>
              <w:trPr>
                <w:cantSplit/>
              </w:trPr>
              <w:tc>
                <w:tcPr>
                  <w:tcW w:type="dxa" w:w="3061"/>
                  <w:tcBorders>
                    <w:top w:val="dashed" w:sz="8" w:space="0" w:color="12B0CE"/>
                    <w:left w:val="dashed" w:sz="8" w:space="0" w:color="12B0CE"/>
                    <w:bottom w:val="dashed" w:sz="8" w:space="0" w:color="12B0CE"/>
                    <w:right w:val="dashed" w:sz="8" w:space="0" w:color="12B0CE"/>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2B0CE"/>
                      <w:spacing w:val="60"/>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60"/>
            </w:pPr>
            <w:r>
              <w:rPr>
                <w:rFonts w:ascii="Georgia" w:hAnsi="Georgia" w:cs="Georgia" w:eastAsia="Georgia"/>
                <w:b/>
                <w:i w:val="0"/>
                <w:color w:val="FFFFFF"/>
                <w:sz w:val="34"/>
                <w:u w:val="none"/>
              </w:rPr>
              <w:t>Aurixa Systems</w:t>
            </w:r>
          </w:p>
          <w:p>
            <w:pPr>
              <w:keepNext w:val="0"/>
              <w:keepLines/>
              <w:pageBreakBefore w:val="0"/>
              <w:widowControl w:val="1"/>
              <w:spacing w:before="0" w:after="200"/>
            </w:pPr>
            <w:r>
              <w:rPr>
                <w:rFonts w:ascii="Calibri" w:hAnsi="Calibri" w:cs="Calibri" w:eastAsia="Calibri"/>
                <w:b/>
                <w:i w:val="0"/>
                <w:caps w:val="1"/>
                <w:color w:val="12B0CE"/>
                <w:spacing w:val="64"/>
                <w:sz w:val="15"/>
                <w:u w:val="none"/>
              </w:rPr>
              <w:t>INTELLIGENT PROPERTY &amp; FINANCE INFRASTRUCTURE</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WEB   </w:t>
            </w:r>
            <w:r>
              <w:rPr>
                <w:rFonts w:ascii="Calibri" w:hAnsi="Calibri" w:cs="Calibri" w:eastAsia="Calibri"/>
                <w:b w:val="0"/>
                <w:i w:val="0"/>
                <w:color w:val="AFC0D6"/>
                <w:sz w:val="17"/>
                <w:u w:val="none"/>
              </w:rPr>
              <w:t>www.example.com.au</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EMAIL   </w:t>
            </w:r>
            <w:r>
              <w:rPr>
                <w:rFonts w:ascii="Calibri" w:hAnsi="Calibri" w:cs="Calibri" w:eastAsia="Calibri"/>
                <w:b w:val="0"/>
                <w:i w:val="0"/>
                <w:color w:val="AFC0D6"/>
                <w:sz w:val="17"/>
                <w:u w:val="none"/>
              </w:rPr>
              <w:t>hello@example.com.au</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PHONE   </w:t>
            </w:r>
            <w:r>
              <w:rPr>
                <w:rFonts w:ascii="Calibri" w:hAnsi="Calibri" w:cs="Calibri" w:eastAsia="Calibri"/>
                <w:b w:val="0"/>
                <w:i w:val="0"/>
                <w:color w:val="AFC0D6"/>
                <w:sz w:val="17"/>
                <w:u w:val="none"/>
              </w:rPr>
              <w:t>(02) 8000 1234</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ADDRESS   </w:t>
            </w:r>
            <w:r>
              <w:rPr>
                <w:rFonts w:ascii="Calibri" w:hAnsi="Calibri" w:cs="Calibri" w:eastAsia="Calibri"/>
                <w:b w:val="0"/>
                <w:i w:val="0"/>
                <w:color w:val="AFC0D6"/>
                <w:sz w:val="17"/>
                <w:u w:val="none"/>
              </w:rPr>
              <w:t>Level 4, 100 Sample Street, Sydney NSW 2000</w:t>
            </w:r>
          </w:p>
          <w:p>
            <w:pPr>
              <w:keepNext w:val="0"/>
              <w:keepLines/>
              <w:pageBreakBefore w:val="0"/>
              <w:widowControl w:val="1"/>
              <w:spacing w:before="0" w:after="80" w:line="298" w:lineRule="auto"/>
            </w:pPr>
            <w:r>
              <w:rPr>
                <w:rFonts w:ascii="Calibri" w:hAnsi="Calibri" w:cs="Calibri" w:eastAsia="Calibri"/>
                <w:b/>
                <w:i w:val="0"/>
                <w:caps w:val="1"/>
                <w:color w:val="12B0CE"/>
                <w:spacing w:val="26"/>
                <w:sz w:val="14"/>
                <w:u w:val="none"/>
              </w:rPr>
              <w:t xml:space="preserve">SOCIAL   </w:t>
            </w:r>
            <w:r>
              <w:rPr>
                <w:rFonts w:ascii="Calibri" w:hAnsi="Calibri" w:cs="Calibri" w:eastAsia="Calibri"/>
                <w:b w:val="0"/>
                <w:i w:val="0"/>
                <w:color w:val="AFC0D6"/>
                <w:sz w:val="17"/>
                <w:u w:val="none"/>
              </w:rPr>
              <w:t>linkedin.com/company/example</w:t>
            </w:r>
          </w:p>
          <w:p>
            <w:pPr>
              <w:keepNext w:val="0"/>
              <w:keepLines/>
              <w:pageBreakBefore w:val="0"/>
              <w:widowControl w:val="1"/>
              <w:spacing w:before="0" w:after="0" w:line="200" w:lineRule="exact"/>
            </w:pPr>
            <w:r>
              <w:rPr>
                <w:sz w:val="2"/>
              </w:rPr>
            </w:r>
          </w:p>
          <w:p>
            <w:pPr>
              <w:keepNext w:val="0"/>
              <w:keepLines/>
              <w:pageBreakBefore w:val="0"/>
              <w:widowControl w:val="1"/>
              <w:spacing w:before="0" w:after="0"/>
            </w:pPr>
            <w:r>
              <w:rPr>
                <w:rFonts w:ascii="Calibri" w:hAnsi="Calibri" w:cs="Calibri" w:eastAsia="Calibri"/>
                <w:b w:val="0"/>
                <w:i w:val="0"/>
                <w:caps w:val="1"/>
                <w:color w:val="AFC0D6"/>
                <w:spacing w:val="32"/>
                <w:sz w:val="14"/>
                <w:u w:val="none"/>
              </w:rPr>
              <w:t>Aurixa Systems</w:t>
            </w:r>
          </w:p>
        </w:tc>
      </w:tr>
    </w:tbl>
    <w:p>
      <w:pPr>
        <w:keepNext w:val="0"/>
        <w:keepLines/>
        <w:pageBreakBefore w:val="0"/>
        <w:widowControl w:val="1"/>
        <w:spacing w:before="0" w:after="0" w:line="160" w:lineRule="exact"/>
      </w:pPr>
      <w:r>
        <w:rPr>
          <w:sz w:val="2"/>
        </w:rPr>
      </w:r>
    </w:p>
    <w:p>
      <w:pPr>
        <w:keepNext w:val="0"/>
        <w:keepLines/>
        <w:pageBreakBefore w:val="0"/>
        <w:widowControl w:val="1"/>
        <w:spacing w:before="0" w:after="0"/>
        <w:jc w:val="center"/>
      </w:pPr>
      <w:r>
        <w:rPr>
          <w:rFonts w:ascii="Calibri" w:hAnsi="Calibri" w:cs="Calibri" w:eastAsia="Calibri"/>
          <w:b w:val="0"/>
          <w:i w:val="0"/>
          <w:color w:val="8493A8"/>
          <w:sz w:val="14"/>
          <w:u w:val="none"/>
        </w:rPr>
        <w:t>Example Advisory Pty Ltd   ·   ABN 12 600 123 456   ·   COMMERCIAL IN CONFIDENCE</w:t>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5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2B0CE"/>
              <w:spacing w:val="5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5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52"/>
              <w:sz w:val="14"/>
              <w:u w:val="none"/>
            </w:rPr>
            <w:t>Client Proposal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55"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Proposal</dc:title>
  <dc:subject>A commercial proposal: the client's situation, the proposed approach, the team, the fees, and why this organisation.</dc:subject>
  <dc:creator>Aurixa Systems</dc:creator>
  <cp:keywords>Proposal, Pitch, Engagement proposal, Business &amp; Advisory,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