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Income asset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INDUSTRIAL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MULTI-TENANTED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WALE 4.1 YRS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Investment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Asset overview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Tenancy schedule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Lease expiry profile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Income &amp; outgoings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Capitalisation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Lease abstracts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income thesis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Investment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Headline position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PASSING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NET INCOME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WALE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RATE PER m²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{{metrics.passingYield}}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asking price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{{metrics.netIncome}}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Passing, per annum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{{metrics.wale}}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By income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{{metrics.ratePerSqm}}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Building area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Asset overview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physical asset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Asset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18"/>
              <w:gridCol w:w="2878"/>
              <w:gridCol w:w="1918"/>
              <w:gridCol w:w="2878"/>
            </w:tblGrid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Address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{{asset.address}}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Title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{{asset.title}}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Site area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{{asset.siteArea}}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Building area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{{asset.buildingArea}}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Site cover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{{asset.siteCover}}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Zoning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{{asset.zoning}}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Construction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{{asset.construction}}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Year built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{{asset.yearBuilt}}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Clearance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{{asset.clearance}}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Loading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{{asset.loading}}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Power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{{asset.power}}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Car parking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{{asset.parking}}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Tenancy schedule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Who pays, how much, until when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Tenancy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enancy schedule"/>
        <w:tblDescription w:val="Columns: Tenancy, Tenant, Area m², Commenced, Expires, Net rent p.a., $/m², Review, Options"/>
      </w:tblPr>
      <w:tblGrid>
        <w:gridCol w:w="782"/>
        <w:gridCol w:w="1799"/>
        <w:gridCol w:w="939"/>
        <w:gridCol w:w="1095"/>
        <w:gridCol w:w="1017"/>
        <w:gridCol w:w="1330"/>
        <w:gridCol w:w="861"/>
        <w:gridCol w:w="1173"/>
        <w:gridCol w:w="1095"/>
      </w:tblGrid>
      <w:tr>
        <w:trPr>
          <w:cantSplit/>
          <w:trHeight w:val="420" w:hRule="atLeast"/>
          <w:tblHeader/>
        </w:trPr>
        <w:tc>
          <w:tcPr>
            <w:tcW w:type="dxa" w:w="7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Tenant</w:t>
            </w:r>
          </w:p>
        </w:tc>
        <w:tc>
          <w:tcPr>
            <w:tcW w:type="dxa" w:w="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Area m²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Commenced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Expires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rent p.a.</w:t>
            </w:r>
          </w:p>
        </w:tc>
        <w:tc>
          <w:tcPr>
            <w:tcW w:type="dxa" w:w="8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$/m²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Review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Options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7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/ weighted</w:t>
            </w:r>
          </w:p>
        </w:tc>
        <w:tc>
          <w:tcPr>
            <w:tcW w:type="dxa" w:w="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4,820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0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$769,450</w:t>
            </w:r>
          </w:p>
        </w:tc>
        <w:tc>
          <w:tcPr>
            <w:tcW w:type="dxa" w:w="8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$160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Rents are net of outgoings, which are fully recoverable under all four leases. Passing net income after a 3.5% structural vacancy allowance is $742,000.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Lease expiry profile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When income is at risk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94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Income expiring by financial year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{{tenancies.expiryProfile}}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Percentage of passing income   ·   Source: Lease schedule   ·   Alt text: 47% of income expires in FY2029, with the remainder spread across FY2030 to FY2032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Income expiring by year, before options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If every option is exercised the FY2029 exposure moves to FY2032 and WALE extends to 6.4 years. Options are the tenant's to exercise, not the landlord's.</w:t>
      </w:r>
    </w:p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Income &amp; outgoings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Net income reconciliation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Income and outgoings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 and outgoings"/>
        <w:tblDescription w:val="Columns: Item, Amount p.a., Recoverable, Net effect"/>
      </w:tblPr>
      <w:tblGrid>
        <w:gridCol w:w="4195"/>
        <w:gridCol w:w="1928"/>
        <w:gridCol w:w="1701"/>
        <w:gridCol w:w="2268"/>
      </w:tblGrid>
      <w:tr>
        <w:trPr>
          <w:cantSplit/>
          <w:trHeight w:val="420" w:hRule="atLeast"/>
          <w:tblHeader/>
        </w:trPr>
        <w:tc>
          <w:tcPr>
            <w:tcW w:type="dxa" w:w="41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p.a.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Recoverable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effect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Net passing income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$742,000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Outgoings are fully recoverable under all four leases except for capital and structural repairs, which are the landlord's.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Capitalisation analysis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it is worth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Value at a range of capitalisation rates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Value at a range of capitalisation rates"/>
        <w:tblDescription w:val="Columns: Capitalisation rate, Implied value, $/m², Comment"/>
      </w:tblPr>
      <w:tblGrid>
        <w:gridCol w:w="2381"/>
        <w:gridCol w:w="2268"/>
        <w:gridCol w:w="1587"/>
        <w:gridCol w:w="3855"/>
      </w:tblGrid>
      <w:tr>
        <w:trPr>
          <w:cantSplit/>
          <w:trHeight w:val="420" w:hRule="atLeast"/>
          <w:tblHeader/>
        </w:trPr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Capitalisation rate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Implied value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$/m²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Comment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Precinct evidence over the last twelve months ranges from 6.60% to 7.40%, with the tighter rates on assets with longer WALE and stronger covenants.</w:t>
      </w:r>
    </w:p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Income at risk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Acquire, condition or decline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4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mbria" w:hAnsi="Cambria" w:cs="Cambria" w:eastAsia="Cambria"/>
          <w:b/>
          <w:i w:val="0"/>
          <w:color w:val="0C2340"/>
          <w:sz w:val="34"/>
          <w:u w:val="none"/>
        </w:rPr>
        <w:t>Lease abstracts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One abstract per tenancy, with the terms that drive value.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Term, Tenancy 1, Tenancy 2, Tenancy 3, Tenancy 4"/>
      </w:tblPr>
      <w:tblGrid>
        <w:gridCol w:w="850"/>
        <w:gridCol w:w="2443"/>
        <w:gridCol w:w="1700"/>
        <w:gridCol w:w="1700"/>
        <w:gridCol w:w="1700"/>
        <w:gridCol w:w="1700"/>
      </w:tblGrid>
      <w:tr>
        <w:trPr>
          <w:cantSplit/>
          <w:trHeight w:val="420" w:hRule="atLeast"/>
          <w:tblHeader/>
        </w:trPr>
        <w:tc>
          <w:tcPr>
            <w:tcW w:type="dxa" w:w="85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Term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1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2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3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4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Commercial Property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Property Assessment</dc:title>
  <dc:subject>Assessment of a commercial or industrial asset: tenancy, lease covenants, WALE, outgoings, capitalisation and the investment position.</dc:subject>
  <dc:creator>Aurixa Systems</dc:creator>
  <cp:keywords>Commercial property, Industrial assessment, Income asset,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