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8"/>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62"/>
                <w:sz w:val="16"/>
                <w:u w:val="none"/>
              </w:rPr>
              <w:t>Income asset assessment</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mbria" w:hAnsi="Cambria" w:cs="Cambria" w:eastAsia="Cambria"/>
                <w:b/>
                <w:i w:val="0"/>
                <w:color w:val="FFFFFF"/>
                <w:spacing w:val="4"/>
                <w:sz w:val="60"/>
                <w:u w:val="none"/>
              </w:rPr>
              <w:t>Commercial Property Assessment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42–48 Industrial Drive, Wetherill Park — a multi-tenanted industrial asset assessed on income durability, covenant and capitalisation.</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INDUSTRIAL</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MULTI-TENANTED</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WALE 4.1 YRS</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0"/>
            </w:pPr>
            <w:r>
              <w:rPr>
                <w:rFonts w:ascii="Cambria" w:hAnsi="Cambria" w:cs="Cambria" w:eastAsia="Cambria"/>
                <w:b/>
                <w:i w:val="0"/>
                <w:caps w:val="1"/>
                <w:color w:val="FFFFFF"/>
                <w:spacing w:val="38"/>
                <w:sz w:val="25"/>
                <w:u w:val="none"/>
              </w:rPr>
              <w:t>Contents</w:t>
            </w:r>
          </w:p>
        </w:tc>
      </w:tr>
    </w:tbl>
    <w:p>
      <w:pPr>
        <w:keepNext w:val="0"/>
        <w:keepLines/>
        <w:pageBreakBefore w:val="0"/>
        <w:widowControl w:val="1"/>
        <w:spacing w:before="0" w:after="0" w:line="200" w:lineRule="exact"/>
      </w:pPr>
      <w:r>
        <w:rPr>
          <w:sz w:val="2"/>
        </w:rPr>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01    </w:t>
      </w:r>
      <w:r>
        <w:rPr>
          <w:rFonts w:ascii="Calibri" w:hAnsi="Calibri" w:cs="Calibri" w:eastAsia="Calibri"/>
          <w:b w:val="0"/>
          <w:i w:val="0"/>
          <w:color w:val="10192A"/>
          <w:sz w:val="19"/>
          <w:u w:val="none"/>
        </w:rPr>
        <w:t>Executive summary</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02    </w:t>
      </w:r>
      <w:r>
        <w:rPr>
          <w:rFonts w:ascii="Calibri" w:hAnsi="Calibri" w:cs="Calibri" w:eastAsia="Calibri"/>
          <w:b w:val="0"/>
          <w:i w:val="0"/>
          <w:color w:val="10192A"/>
          <w:sz w:val="19"/>
          <w:u w:val="none"/>
        </w:rPr>
        <w:t>Investment metrics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03    </w:t>
      </w:r>
      <w:r>
        <w:rPr>
          <w:rFonts w:ascii="Calibri" w:hAnsi="Calibri" w:cs="Calibri" w:eastAsia="Calibri"/>
          <w:b w:val="0"/>
          <w:i w:val="0"/>
          <w:color w:val="10192A"/>
          <w:sz w:val="19"/>
          <w:u w:val="none"/>
        </w:rPr>
        <w:t>Asset overview</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04    </w:t>
      </w:r>
      <w:r>
        <w:rPr>
          <w:rFonts w:ascii="Calibri" w:hAnsi="Calibri" w:cs="Calibri" w:eastAsia="Calibri"/>
          <w:b w:val="0"/>
          <w:i w:val="0"/>
          <w:color w:val="10192A"/>
          <w:sz w:val="19"/>
          <w:u w:val="none"/>
        </w:rPr>
        <w:t>Tenancy schedule</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05    </w:t>
      </w:r>
      <w:r>
        <w:rPr>
          <w:rFonts w:ascii="Calibri" w:hAnsi="Calibri" w:cs="Calibri" w:eastAsia="Calibri"/>
          <w:b w:val="0"/>
          <w:i w:val="0"/>
          <w:color w:val="10192A"/>
          <w:sz w:val="19"/>
          <w:u w:val="none"/>
        </w:rPr>
        <w:t>Lease expiry profile</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06    </w:t>
      </w:r>
      <w:r>
        <w:rPr>
          <w:rFonts w:ascii="Calibri" w:hAnsi="Calibri" w:cs="Calibri" w:eastAsia="Calibri"/>
          <w:b w:val="0"/>
          <w:i w:val="0"/>
          <w:color w:val="10192A"/>
          <w:sz w:val="19"/>
          <w:u w:val="none"/>
        </w:rPr>
        <w:t>Income &amp; outgoings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07    </w:t>
      </w:r>
      <w:r>
        <w:rPr>
          <w:rFonts w:ascii="Calibri" w:hAnsi="Calibri" w:cs="Calibri" w:eastAsia="Calibri"/>
          <w:b w:val="0"/>
          <w:i w:val="0"/>
          <w:color w:val="10192A"/>
          <w:sz w:val="19"/>
          <w:u w:val="none"/>
        </w:rPr>
        <w:t>Capitalisation analysis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08    </w:t>
      </w:r>
      <w:r>
        <w:rPr>
          <w:rFonts w:ascii="Calibri" w:hAnsi="Calibri" w:cs="Calibri" w:eastAsia="Calibri"/>
          <w:b w:val="0"/>
          <w:i w:val="0"/>
          <w:color w:val="10192A"/>
          <w:sz w:val="19"/>
          <w:u w:val="none"/>
        </w:rPr>
        <w:t>Risks &amp; mitigations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09    </w:t>
      </w:r>
      <w:r>
        <w:rPr>
          <w:rFonts w:ascii="Calibri" w:hAnsi="Calibri" w:cs="Calibri" w:eastAsia="Calibri"/>
          <w:b w:val="0"/>
          <w:i w:val="0"/>
          <w:color w:val="10192A"/>
          <w:sz w:val="19"/>
          <w:u w:val="none"/>
        </w:rPr>
        <w:t>Recommendation</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A    </w:t>
      </w:r>
      <w:r>
        <w:rPr>
          <w:rFonts w:ascii="Calibri" w:hAnsi="Calibri" w:cs="Calibri" w:eastAsia="Calibri"/>
          <w:b w:val="0"/>
          <w:i w:val="0"/>
          <w:color w:val="10192A"/>
          <w:sz w:val="19"/>
          <w:u w:val="none"/>
        </w:rPr>
        <w:t>Lease abstracts</w:t>
      </w:r>
    </w:p>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01</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Executive summary</w:t>
            </w:r>
          </w:p>
          <w:p>
            <w:pPr>
              <w:keepNext/>
              <w:keepLines/>
              <w:pageBreakBefore w:val="0"/>
              <w:widowControl w:val="1"/>
              <w:spacing w:before="0" w:after="0"/>
            </w:pPr>
            <w:r>
              <w:rPr>
                <w:rFonts w:ascii="Calibri" w:hAnsi="Calibri" w:cs="Calibri" w:eastAsia="Calibri"/>
                <w:b w:val="0"/>
                <w:i w:val="0"/>
                <w:caps w:val="1"/>
                <w:color w:val="1D6FE0"/>
                <w:spacing w:val="22"/>
                <w:sz w:val="14"/>
                <w:u w:val="none"/>
              </w:rPr>
              <w:t>The income thesis</w:t>
            </w:r>
          </w:p>
        </w:tc>
      </w:tr>
    </w:tbl>
    <w:p>
      <w:pPr>
        <w:keepNext w:val="0"/>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0" w:type="dxa"/>
              <w:left w:w="210" w:type="dxa"/>
              <w:bottom w:w="180" w:type="dxa"/>
              <w:right w:w="210" w:type="dxa"/>
            </w:tcMar>
          </w:tcPr>
          <w:p>
            <w:pPr>
              <w:keepNext/>
              <w:keepLines/>
              <w:pageBreakBefore w:val="0"/>
              <w:widowControl w:val="1"/>
              <w:spacing w:before="0" w:after="80"/>
            </w:pPr>
            <w:r>
              <w:rPr>
                <w:rFonts w:ascii="Calibri" w:hAnsi="Calibri" w:cs="Calibri" w:eastAsia="Calibri"/>
                <w:b/>
                <w:i w:val="0"/>
                <w:caps w:val="1"/>
                <w:color w:val="1D6FE0"/>
                <w:spacing w:val="30"/>
                <w:sz w:val="15"/>
                <w:u w:val="none"/>
              </w:rPr>
              <w:t>Executive summary</w:t>
            </w:r>
          </w:p>
          <w:p>
            <w:pPr>
              <w:keepNext/>
              <w:keepLines/>
              <w:pageBreakBefore w:val="0"/>
              <w:widowControl w:val="1"/>
              <w:spacing w:before="0" w:after="120" w:line="293" w:lineRule="auto"/>
            </w:pPr>
            <w:r>
              <w:rPr>
                <w:rFonts w:ascii="Cambria" w:hAnsi="Cambria" w:cs="Cambria" w:eastAsia="Cambria"/>
                <w:b/>
                <w:i w:val="0"/>
                <w:color w:val="0C2340"/>
                <w:sz w:val="23"/>
                <w:u w:val="none"/>
              </w:rPr>
              <w:t>A durable industrial income stream at a fair price, with a single concentration risk that should be priced in rather than ignored.</w:t>
            </w:r>
          </w:p>
          <w:p>
            <w:pPr>
              <w:keepNext w:val="0"/>
              <w:keepLines/>
              <w:pageBreakBefore w:val="0"/>
              <w:widowControl w:val="1"/>
              <w:spacing w:before="0" w:after="0" w:line="322" w:lineRule="auto"/>
            </w:pPr>
            <w:r>
              <w:rPr>
                <w:rFonts w:ascii="Calibri" w:hAnsi="Calibri" w:cs="Calibri" w:eastAsia="Calibri"/>
                <w:b w:val="0"/>
                <w:i w:val="0"/>
                <w:color w:val="10192A"/>
                <w:sz w:val="19"/>
                <w:u w:val="none"/>
              </w:rPr>
              <w:t>The asset comprises four tenancies over 4,820m² of building area on a 9,140m² site in an established industrial precinct. Passing net income is $742,000 against an asking price of $10.6m, a passing yield of 7.0%.</w:t>
            </w:r>
          </w:p>
          <w:p>
            <w:pPr>
              <w:keepNext w:val="0"/>
              <w:keepLines/>
              <w:pageBreakBefore w:val="0"/>
              <w:widowControl w:val="1"/>
              <w:spacing w:before="100" w:after="0" w:line="322" w:lineRule="auto"/>
            </w:pPr>
            <w:r>
              <w:rPr>
                <w:rFonts w:ascii="Calibri" w:hAnsi="Calibri" w:cs="Calibri" w:eastAsia="Calibri"/>
                <w:b w:val="0"/>
                <w:i w:val="0"/>
                <w:color w:val="10192A"/>
                <w:sz w:val="19"/>
                <w:u w:val="none"/>
              </w:rPr>
              <w:t>Income durability is good. Weighted average lease expiry is 4.1 years, all four leases carry fixed 3.5% annual reviews, and the precinct's vacancy rate has been below 2% for eleven consecutive quarters.</w:t>
            </w:r>
          </w:p>
          <w:p>
            <w:pPr>
              <w:keepNext w:val="0"/>
              <w:keepLines/>
              <w:pageBreakBefore w:val="0"/>
              <w:widowControl w:val="1"/>
              <w:spacing w:before="100" w:after="0" w:line="322" w:lineRule="auto"/>
            </w:pPr>
            <w:r>
              <w:rPr>
                <w:rFonts w:ascii="Calibri" w:hAnsi="Calibri" w:cs="Calibri" w:eastAsia="Calibri"/>
                <w:b w:val="0"/>
                <w:i w:val="0"/>
                <w:color w:val="10192A"/>
                <w:sz w:val="19"/>
                <w:u w:val="none"/>
              </w:rPr>
              <w:t>The concentration is the issue. Tenancy 1 represents 47% of income and its lease expires in 2.3 years with a single three-year option. If that option is not exercised the asset re-rates materially, and the price should reflect that risk rather than assume it away.</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What this means</w:t>
            </w:r>
          </w:p>
          <w:p>
            <w:pPr>
              <w:keepNext w:val="0"/>
              <w:keepLines/>
              <w:pageBreakBefore w:val="0"/>
              <w:widowControl w:val="1"/>
              <w:spacing w:before="0" w:after="0" w:line="322"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Passing yield of 7.0% on $742,000 net income.</w:t>
            </w:r>
          </w:p>
          <w:p>
            <w:pPr>
              <w:keepNext w:val="0"/>
              <w:keepLines/>
              <w:pageBreakBefore w:val="0"/>
              <w:widowControl w:val="1"/>
              <w:spacing w:before="80" w:after="0" w:line="322"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WALE of 4.1 years with fixed 3.5% reviews across all four leases.</w:t>
            </w:r>
          </w:p>
          <w:p>
            <w:pPr>
              <w:keepNext w:val="0"/>
              <w:keepLines/>
              <w:pageBreakBefore w:val="0"/>
              <w:widowControl w:val="1"/>
              <w:spacing w:before="80" w:after="0" w:line="322"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Tenancy 1 is 47% of income and expires in 2.3 years.</w:t>
            </w:r>
          </w:p>
          <w:p>
            <w:pPr>
              <w:keepNext w:val="0"/>
              <w:keepLines/>
              <w:pageBreakBefore w:val="0"/>
              <w:widowControl w:val="1"/>
              <w:spacing w:before="80" w:after="0" w:line="322"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Recommended maximum is $10.2m, a 7.3% passing yield.</w:t>
            </w:r>
          </w:p>
        </w:tc>
      </w:tr>
    </w:tbl>
    <w:p>
      <w:pPr>
        <w:keepNext w:val="0"/>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02</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Investment metrics</w:t>
            </w:r>
          </w:p>
          <w:p>
            <w:pPr>
              <w:keepNext/>
              <w:keepLines/>
              <w:pageBreakBefore w:val="0"/>
              <w:widowControl w:val="1"/>
              <w:spacing w:before="0" w:after="0"/>
            </w:pPr>
            <w:r>
              <w:rPr>
                <w:rFonts w:ascii="Calibri" w:hAnsi="Calibri" w:cs="Calibri" w:eastAsia="Calibri"/>
                <w:b w:val="0"/>
                <w:i w:val="0"/>
                <w:caps w:val="1"/>
                <w:color w:val="1D6FE0"/>
                <w:spacing w:val="22"/>
                <w:sz w:val="14"/>
                <w:u w:val="none"/>
              </w:rPr>
              <w:t>Headline position</w:t>
            </w:r>
          </w:p>
        </w:tc>
      </w:tr>
    </w:tbl>
    <w:p>
      <w:pPr>
        <w:keepNext w:val="0"/>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0"/>
                <w:sz w:val="14"/>
                <w:u w:val="none"/>
              </w:rPr>
              <w:t>PASSING YIELD</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0"/>
                <w:sz w:val="14"/>
                <w:u w:val="none"/>
              </w:rPr>
              <w:t>NET INCOME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0"/>
                <w:sz w:val="14"/>
                <w:u w:val="none"/>
              </w:rPr>
              <w:t>WALE</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0"/>
                <w:sz w:val="14"/>
                <w:u w:val="none"/>
              </w:rPr>
              <w:t>RATE PER m²</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7.00%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On asking price</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$742,000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Passing, per annum</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4.1 yrs</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By income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$2,199</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Building area</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03</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Asset overview</w:t>
            </w:r>
          </w:p>
          <w:p>
            <w:pPr>
              <w:keepNext/>
              <w:keepLines/>
              <w:pageBreakBefore w:val="0"/>
              <w:widowControl w:val="1"/>
              <w:spacing w:before="0" w:after="0"/>
            </w:pPr>
            <w:r>
              <w:rPr>
                <w:rFonts w:ascii="Calibri" w:hAnsi="Calibri" w:cs="Calibri" w:eastAsia="Calibri"/>
                <w:b w:val="0"/>
                <w:i w:val="0"/>
                <w:caps w:val="1"/>
                <w:color w:val="1D6FE0"/>
                <w:spacing w:val="22"/>
                <w:sz w:val="14"/>
                <w:u w:val="none"/>
              </w:rPr>
              <w:t>The physical asset</w:t>
            </w:r>
          </w:p>
        </w:tc>
      </w:tr>
    </w:tbl>
    <w:p>
      <w:pPr>
        <w:keepNext w:val="0"/>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0" w:type="dxa"/>
              <w:left w:w="210" w:type="dxa"/>
              <w:bottom w:w="180" w:type="dxa"/>
              <w:right w:w="210" w:type="dxa"/>
            </w:tcMar>
          </w:tcPr>
          <w:p>
            <w:pPr>
              <w:keepNext/>
              <w:keepLines/>
              <w:pageBreakBefore w:val="0"/>
              <w:widowControl w:val="1"/>
              <w:spacing w:before="0" w:after="80"/>
            </w:pPr>
            <w:r>
              <w:rPr>
                <w:rFonts w:ascii="Calibri" w:hAnsi="Calibri" w:cs="Calibri" w:eastAsia="Calibri"/>
                <w:b/>
                <w:i w:val="0"/>
                <w:caps w:val="1"/>
                <w:color w:val="1D6FE0"/>
                <w:spacing w:val="30"/>
                <w:sz w:val="15"/>
                <w:u w:val="none"/>
              </w:rPr>
              <w:t>Asset particulars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18"/>
              <w:gridCol w:w="2878"/>
              <w:gridCol w:w="1918"/>
              <w:gridCol w:w="2878"/>
            </w:tblGrid>
            <w:tr>
              <w:trPr>
                <w:cantSplit/>
                <w:trHeight w:val="431" w:hRule="atLeast"/>
              </w:trPr>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Address</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42–48 Industrial Drive, Wetherill Park NSW</w:t>
                  </w:r>
                </w:p>
              </w:tc>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Title</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Freehold, single title</w:t>
                  </w:r>
                </w:p>
              </w:tc>
            </w:tr>
            <w:tr>
              <w:trPr>
                <w:cantSplit/>
                <w:trHeight w:val="431" w:hRule="atLeast"/>
              </w:trPr>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Site area</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9,140 m²</w:t>
                  </w:r>
                </w:p>
              </w:tc>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Building area</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4,820 m²</w:t>
                  </w:r>
                </w:p>
              </w:tc>
            </w:tr>
            <w:tr>
              <w:trPr>
                <w:cantSplit/>
                <w:trHeight w:val="431" w:hRule="atLeast"/>
              </w:trPr>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Site cover</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52.7%</w:t>
                  </w:r>
                </w:p>
              </w:tc>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Zoning</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E4 General Industrial</w:t>
                  </w:r>
                </w:p>
              </w:tc>
            </w:tr>
            <w:tr>
              <w:trPr>
                <w:cantSplit/>
                <w:trHeight w:val="431" w:hRule="atLeast"/>
              </w:trPr>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Construction</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Concrete tilt panel, metal deck roof</w:t>
                  </w:r>
                </w:p>
              </w:tc>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Year built</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2008; office fit-out refurbished 2021</w:t>
                  </w:r>
                </w:p>
              </w:tc>
            </w:tr>
            <w:tr>
              <w:trPr>
                <w:cantSplit/>
                <w:trHeight w:val="431" w:hRule="atLeast"/>
              </w:trPr>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Clearance</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8.2 m to underside of portal</w:t>
                  </w:r>
                </w:p>
              </w:tc>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Loading</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 recessed docks, 2 on-grade</w:t>
                  </w:r>
                </w:p>
              </w:tc>
            </w:tr>
            <w:tr>
              <w:trPr>
                <w:cantSplit/>
                <w:trHeight w:val="431" w:hRule="atLeast"/>
              </w:trPr>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Power</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800 amp three phase</w:t>
                  </w:r>
                </w:p>
              </w:tc>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Car parking</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62 spaces at grade</w:t>
                  </w:r>
                </w:p>
              </w:tc>
            </w:tr>
          </w:tbl>
          <w:p/>
        </w:tc>
      </w:tr>
    </w:tbl>
    <w:p>
      <w:pPr>
        <w:keepNext w:val="0"/>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04</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Tenancy schedule</w:t>
            </w:r>
          </w:p>
          <w:p>
            <w:pPr>
              <w:keepNext/>
              <w:keepLines/>
              <w:pageBreakBefore w:val="0"/>
              <w:widowControl w:val="1"/>
              <w:spacing w:before="0" w:after="0"/>
            </w:pPr>
            <w:r>
              <w:rPr>
                <w:rFonts w:ascii="Calibri" w:hAnsi="Calibri" w:cs="Calibri" w:eastAsia="Calibri"/>
                <w:b w:val="0"/>
                <w:i w:val="0"/>
                <w:caps w:val="1"/>
                <w:color w:val="1D6FE0"/>
                <w:spacing w:val="22"/>
                <w:sz w:val="14"/>
                <w:u w:val="none"/>
              </w:rPr>
              <w:t>Who pays, how much, until when</w:t>
            </w:r>
          </w:p>
        </w:tc>
      </w:tr>
    </w:tbl>
    <w:p>
      <w:pPr>
        <w:keepNext w:val="0"/>
        <w:keepLines/>
        <w:pageBreakBefore w:val="0"/>
        <w:widowControl w:val="1"/>
        <w:spacing w:before="0" w:after="0" w:line="2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Tenancy schedule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Tenancy schedule"/>
        <w:tblDescription w:val="Columns: Tenancy, Tenant, Area m², Commenced, Expires, Net rent p.a., $/m², Review, Options"/>
      </w:tblPr>
      <w:tblGrid>
        <w:gridCol w:w="782"/>
        <w:gridCol w:w="1799"/>
        <w:gridCol w:w="939"/>
        <w:gridCol w:w="1095"/>
        <w:gridCol w:w="1017"/>
        <w:gridCol w:w="1330"/>
        <w:gridCol w:w="861"/>
        <w:gridCol w:w="1173"/>
        <w:gridCol w:w="1095"/>
      </w:tblGrid>
      <w:tr>
        <w:trPr>
          <w:cantSplit/>
          <w:trHeight w:val="420" w:hRule="atLeast"/>
          <w:tblHeader/>
        </w:trPr>
        <w:tc>
          <w:tcPr>
            <w:tcW w:type="dxa" w:w="782"/>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Tenancy</w:t>
            </w:r>
          </w:p>
        </w:tc>
        <w:tc>
          <w:tcPr>
            <w:tcW w:type="dxa" w:w="1799"/>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Tenant</w:t>
            </w:r>
          </w:p>
        </w:tc>
        <w:tc>
          <w:tcPr>
            <w:tcW w:type="dxa" w:w="939"/>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Area m²</w:t>
            </w:r>
          </w:p>
        </w:tc>
        <w:tc>
          <w:tcPr>
            <w:tcW w:type="dxa" w:w="1095"/>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Commenced</w:t>
            </w:r>
          </w:p>
        </w:tc>
        <w:tc>
          <w:tcPr>
            <w:tcW w:type="dxa" w:w="1017"/>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Expires</w:t>
            </w:r>
          </w:p>
        </w:tc>
        <w:tc>
          <w:tcPr>
            <w:tcW w:type="dxa" w:w="1330"/>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Net rent p.a.</w:t>
            </w:r>
          </w:p>
        </w:tc>
        <w:tc>
          <w:tcPr>
            <w:tcW w:type="dxa" w:w="861"/>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$/m²</w:t>
            </w:r>
          </w:p>
        </w:tc>
        <w:tc>
          <w:tcPr>
            <w:tcW w:type="dxa" w:w="1173"/>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Review</w:t>
            </w:r>
          </w:p>
        </w:tc>
        <w:tc>
          <w:tcPr>
            <w:tcW w:type="dxa" w:w="1095"/>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Options</w:t>
            </w:r>
          </w:p>
        </w:tc>
      </w:tr>
      <w:tr>
        <w:trPr>
          <w:cantSplit/>
          <w:trHeight w:val="397" w:hRule="atLeast"/>
        </w:trPr>
        <w:tc>
          <w:tcPr>
            <w:tcW w:type="dxa" w:w="78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w:t>
            </w:r>
          </w:p>
        </w:tc>
        <w:tc>
          <w:tcPr>
            <w:tcW w:type="dxa" w:w="179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Logistics operator</w:t>
            </w:r>
          </w:p>
        </w:tc>
        <w:tc>
          <w:tcPr>
            <w:tcW w:type="dxa" w:w="93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2,240</w:t>
            </w:r>
          </w:p>
        </w:tc>
        <w:tc>
          <w:tcPr>
            <w:tcW w:type="dxa" w:w="109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Nov 2021</w:t>
            </w:r>
          </w:p>
        </w:tc>
        <w:tc>
          <w:tcPr>
            <w:tcW w:type="dxa" w:w="101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Nov 2028</w:t>
            </w:r>
          </w:p>
        </w:tc>
        <w:tc>
          <w:tcPr>
            <w:tcW w:type="dxa" w:w="133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$348,700</w:t>
            </w:r>
          </w:p>
        </w:tc>
        <w:tc>
          <w:tcPr>
            <w:tcW w:type="dxa" w:w="86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$156</w:t>
            </w:r>
          </w:p>
        </w:tc>
        <w:tc>
          <w:tcPr>
            <w:tcW w:type="dxa" w:w="1173"/>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3.5% fixed</w:t>
            </w:r>
          </w:p>
        </w:tc>
        <w:tc>
          <w:tcPr>
            <w:tcW w:type="dxa" w:w="109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 3 yrs</w:t>
            </w:r>
          </w:p>
        </w:tc>
      </w:tr>
      <w:tr>
        <w:trPr>
          <w:cantSplit/>
          <w:trHeight w:val="397" w:hRule="atLeast"/>
        </w:trPr>
        <w:tc>
          <w:tcPr>
            <w:tcW w:type="dxa" w:w="782"/>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w:t>
            </w:r>
          </w:p>
        </w:tc>
        <w:tc>
          <w:tcPr>
            <w:tcW w:type="dxa" w:w="1799"/>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Food manufacturer</w:t>
            </w:r>
          </w:p>
        </w:tc>
        <w:tc>
          <w:tcPr>
            <w:tcW w:type="dxa" w:w="939"/>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1,180</w:t>
            </w:r>
          </w:p>
        </w:tc>
        <w:tc>
          <w:tcPr>
            <w:tcW w:type="dxa" w:w="109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Mar 2023</w:t>
            </w:r>
          </w:p>
        </w:tc>
        <w:tc>
          <w:tcPr>
            <w:tcW w:type="dxa" w:w="1017"/>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Mar 2031</w:t>
            </w:r>
          </w:p>
        </w:tc>
        <w:tc>
          <w:tcPr>
            <w:tcW w:type="dxa" w:w="133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$194,700</w:t>
            </w:r>
          </w:p>
        </w:tc>
        <w:tc>
          <w:tcPr>
            <w:tcW w:type="dxa" w:w="86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$165</w:t>
            </w:r>
          </w:p>
        </w:tc>
        <w:tc>
          <w:tcPr>
            <w:tcW w:type="dxa" w:w="1173"/>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3.5% fixed</w:t>
            </w:r>
          </w:p>
        </w:tc>
        <w:tc>
          <w:tcPr>
            <w:tcW w:type="dxa" w:w="109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 5 yrs</w:t>
            </w:r>
          </w:p>
        </w:tc>
      </w:tr>
      <w:tr>
        <w:trPr>
          <w:cantSplit/>
          <w:trHeight w:val="397" w:hRule="atLeast"/>
        </w:trPr>
        <w:tc>
          <w:tcPr>
            <w:tcW w:type="dxa" w:w="78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w:t>
            </w:r>
          </w:p>
        </w:tc>
        <w:tc>
          <w:tcPr>
            <w:tcW w:type="dxa" w:w="179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Trade supplier</w:t>
            </w:r>
          </w:p>
        </w:tc>
        <w:tc>
          <w:tcPr>
            <w:tcW w:type="dxa" w:w="93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820</w:t>
            </w:r>
          </w:p>
        </w:tc>
        <w:tc>
          <w:tcPr>
            <w:tcW w:type="dxa" w:w="109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Jul 2024</w:t>
            </w:r>
          </w:p>
        </w:tc>
        <w:tc>
          <w:tcPr>
            <w:tcW w:type="dxa" w:w="101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Jul 2029</w:t>
            </w:r>
          </w:p>
        </w:tc>
        <w:tc>
          <w:tcPr>
            <w:tcW w:type="dxa" w:w="133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$133,250</w:t>
            </w:r>
          </w:p>
        </w:tc>
        <w:tc>
          <w:tcPr>
            <w:tcW w:type="dxa" w:w="86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$163</w:t>
            </w:r>
          </w:p>
        </w:tc>
        <w:tc>
          <w:tcPr>
            <w:tcW w:type="dxa" w:w="1173"/>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3.5% fixed</w:t>
            </w:r>
          </w:p>
        </w:tc>
        <w:tc>
          <w:tcPr>
            <w:tcW w:type="dxa" w:w="109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 × 3 yrs</w:t>
            </w:r>
          </w:p>
        </w:tc>
      </w:tr>
      <w:tr>
        <w:trPr>
          <w:cantSplit/>
          <w:trHeight w:val="397" w:hRule="atLeast"/>
        </w:trPr>
        <w:tc>
          <w:tcPr>
            <w:tcW w:type="dxa" w:w="782"/>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w:t>
            </w:r>
          </w:p>
        </w:tc>
        <w:tc>
          <w:tcPr>
            <w:tcW w:type="dxa" w:w="1799"/>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Light assembly</w:t>
            </w:r>
          </w:p>
        </w:tc>
        <w:tc>
          <w:tcPr>
            <w:tcW w:type="dxa" w:w="939"/>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580</w:t>
            </w:r>
          </w:p>
        </w:tc>
        <w:tc>
          <w:tcPr>
            <w:tcW w:type="dxa" w:w="109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Jan 2025</w:t>
            </w:r>
          </w:p>
        </w:tc>
        <w:tc>
          <w:tcPr>
            <w:tcW w:type="dxa" w:w="1017"/>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Jan 2030</w:t>
            </w:r>
          </w:p>
        </w:tc>
        <w:tc>
          <w:tcPr>
            <w:tcW w:type="dxa" w:w="133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$92,800</w:t>
            </w:r>
          </w:p>
        </w:tc>
        <w:tc>
          <w:tcPr>
            <w:tcW w:type="dxa" w:w="86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$160</w:t>
            </w:r>
          </w:p>
        </w:tc>
        <w:tc>
          <w:tcPr>
            <w:tcW w:type="dxa" w:w="1173"/>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3.5% fixed</w:t>
            </w:r>
          </w:p>
        </w:tc>
        <w:tc>
          <w:tcPr>
            <w:tcW w:type="dxa" w:w="109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 3 yrs</w:t>
            </w:r>
          </w:p>
        </w:tc>
      </w:tr>
      <w:tr>
        <w:trPr>
          <w:cantSplit/>
          <w:trHeight w:val="397" w:hRule="atLeast"/>
        </w:trPr>
        <w:tc>
          <w:tcPr>
            <w:tcW w:type="dxa" w:w="782"/>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val="0"/>
              <w:keepLines/>
              <w:pageBreakBefore w:val="0"/>
              <w:widowControl w:val="1"/>
              <w:spacing w:before="0" w:after="0" w:line="293" w:lineRule="auto"/>
            </w:pPr>
          </w:p>
        </w:tc>
        <w:tc>
          <w:tcPr>
            <w:tcW w:type="dxa" w:w="1799"/>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Total / weighted</w:t>
            </w:r>
          </w:p>
        </w:tc>
        <w:tc>
          <w:tcPr>
            <w:tcW w:type="dxa" w:w="939"/>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4,820</w:t>
            </w:r>
          </w:p>
        </w:tc>
        <w:tc>
          <w:tcPr>
            <w:tcW w:type="dxa" w:w="1095"/>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val="0"/>
              <w:keepLines/>
              <w:pageBreakBefore w:val="0"/>
              <w:widowControl w:val="1"/>
              <w:spacing w:before="0" w:after="0" w:line="293" w:lineRule="auto"/>
            </w:pPr>
          </w:p>
        </w:tc>
        <w:tc>
          <w:tcPr>
            <w:tcW w:type="dxa" w:w="1017"/>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val="0"/>
              <w:keepLines/>
              <w:pageBreakBefore w:val="0"/>
              <w:widowControl w:val="1"/>
              <w:spacing w:before="0" w:after="0" w:line="293" w:lineRule="auto"/>
            </w:pPr>
          </w:p>
        </w:tc>
        <w:tc>
          <w:tcPr>
            <w:tcW w:type="dxa" w:w="1330"/>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$769,450</w:t>
            </w:r>
          </w:p>
        </w:tc>
        <w:tc>
          <w:tcPr>
            <w:tcW w:type="dxa" w:w="861"/>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$160</w:t>
            </w:r>
          </w:p>
        </w:tc>
        <w:tc>
          <w:tcPr>
            <w:tcW w:type="dxa" w:w="1173"/>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val="0"/>
              <w:keepLines/>
              <w:pageBreakBefore w:val="0"/>
              <w:widowControl w:val="1"/>
              <w:spacing w:before="0" w:after="0" w:line="293" w:lineRule="auto"/>
            </w:pPr>
          </w:p>
        </w:tc>
        <w:tc>
          <w:tcPr>
            <w:tcW w:type="dxa" w:w="1095"/>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Rents are net of outgoings, which are fully recoverable under all four leases. Passing net income after a 3.5% structural vacancy allowance is $742,000.</w:t>
      </w:r>
    </w:p>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05</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Lease expiry profile</w:t>
            </w:r>
          </w:p>
          <w:p>
            <w:pPr>
              <w:keepNext/>
              <w:keepLines/>
              <w:pageBreakBefore w:val="0"/>
              <w:widowControl w:val="1"/>
              <w:spacing w:before="0" w:after="0"/>
            </w:pPr>
            <w:r>
              <w:rPr>
                <w:rFonts w:ascii="Calibri" w:hAnsi="Calibri" w:cs="Calibri" w:eastAsia="Calibri"/>
                <w:b w:val="0"/>
                <w:i w:val="0"/>
                <w:caps w:val="1"/>
                <w:color w:val="1D6FE0"/>
                <w:spacing w:val="22"/>
                <w:sz w:val="14"/>
                <w:u w:val="none"/>
              </w:rPr>
              <w:t>When income is at risk</w:t>
            </w:r>
          </w:p>
        </w:tc>
      </w:tr>
    </w:tbl>
    <w:p>
      <w:pPr>
        <w:keepNext w:val="0"/>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2948" w:hRule="atLeast"/>
        </w:trPr>
        <w:tc>
          <w:tcPr>
            <w:tcW w:type="dxa" w:w="10091"/>
            <w:tcBorders>
              <w:top w:val="single" w:sz="4" w:space="0" w:color="C2CDDC"/>
              <w:left w:val="single" w:sz="4" w:space="0" w:color="C2CDDC"/>
              <w:bottom w:val="single" w:sz="4" w:space="0" w:color="C2CDDC"/>
              <w:right w:val="single" w:sz="4" w:space="0" w:color="C2CDDC"/>
            </w:tcBorders>
            <w:shd w:val="clear" w:color="auto" w:fill="F7F9FC"/>
            <w:tcMar>
              <w:top w:w="150" w:type="dxa"/>
              <w:left w:w="180" w:type="dxa"/>
              <w:bottom w:w="150" w:type="dxa"/>
              <w:right w:w="180" w:type="dxa"/>
            </w:tcMar>
            <w:vAlign w:val="center"/>
          </w:tcPr>
          <w:p>
            <w:pPr>
              <w:keepNext w:val="0"/>
              <w:keepLines/>
              <w:pageBreakBefore w:val="0"/>
              <w:widowControl w:val="1"/>
              <w:spacing w:before="0" w:after="60"/>
              <w:jc w:val="center"/>
            </w:pPr>
            <w:r>
              <w:rPr>
                <w:rFonts w:ascii="Cambria" w:hAnsi="Cambria" w:cs="Cambria" w:eastAsia="Cambria"/>
                <w:b/>
                <w:i w:val="0"/>
                <w:color w:val="0C2340"/>
                <w:sz w:val="18"/>
                <w:u w:val="none"/>
              </w:rPr>
              <w:t>Income expiring by financial year</w:t>
            </w:r>
          </w:p>
          <w:p>
            <w:pPr>
              <w:keepNext w:val="0"/>
              <w:keepLines/>
              <w:pageBreakBefore w:val="0"/>
              <w:widowControl w:val="1"/>
              <w:spacing w:before="0" w:after="60"/>
              <w:jc w:val="center"/>
            </w:pPr>
            <w:r>
              <w:rPr>
                <w:rFonts w:ascii="Calibri" w:hAnsi="Calibri" w:cs="Calibri" w:eastAsia="Calibri"/>
                <w:b/>
                <w:i w:val="0"/>
                <w:caps w:val="1"/>
                <w:color w:val="1D6FE0"/>
                <w:spacing w:val="36"/>
                <w:sz w:val="15"/>
                <w:u w:val="none"/>
              </w:rPr>
              <w:t>[  COLUMN CHART  ]</w:t>
            </w:r>
          </w:p>
          <w:p>
            <w:pPr>
              <w:keepNext/>
              <w:keepLines/>
              <w:pageBreakBefore w:val="0"/>
              <w:widowControl w:val="1"/>
              <w:spacing w:before="0" w:after="0"/>
              <w:jc w:val="center"/>
            </w:pPr>
            <w:r>
              <w:rPr>
                <w:rFonts w:ascii="Calibri" w:hAnsi="Calibri" w:cs="Calibri" w:eastAsia="Calibri"/>
                <w:b w:val="0"/>
                <w:i w:val="0"/>
                <w:color w:val="8493A8"/>
                <w:sz w:val="14"/>
                <w:u w:val="none"/>
              </w:rPr>
              <w:t>{{tenancies.expiryProfile}}</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Percentage of passing income   ·   Source: Lease schedule   ·   Alt text: 47% of income expires in FY2029, with the remainder spread across FY2030 to FY2032</w:t>
      </w:r>
    </w:p>
    <w:p>
      <w:pPr>
        <w:keepNext w:val="0"/>
        <w:keepLines/>
        <w:pageBreakBefore w:val="0"/>
        <w:widowControl w:val="1"/>
        <w:spacing w:before="0" w:after="0" w:line="12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Income expiring by year, before options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26"/>
        <w:gridCol w:w="5651"/>
        <w:gridCol w:w="1615"/>
      </w:tblGrid>
      <w:tr>
        <w:trPr>
          <w:cantSplit/>
          <w:trHeight w:val="420" w:hRule="atLeast"/>
        </w:trPr>
        <w:tc>
          <w:tcPr>
            <w:tcW w:type="dxa" w:w="2826"/>
            <w:tcBorders>
              <w:top w:val="nil"/>
              <w:left w:val="nil"/>
              <w:bottom w:val="single" w:sz="4" w:space="0" w:color="DCE3ED"/>
              <w:right w:val="nil"/>
            </w:tcBorders>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FY2029</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312"/>
              <w:gridCol w:w="339"/>
            </w:tblGrid>
            <w:tr>
              <w:trPr>
                <w:cantSplit/>
              </w:trPr>
              <w:tc>
                <w:tcPr>
                  <w:tcW w:type="dxa" w:w="5312"/>
                  <w:shd w:val="clear" w:color="auto" w:fill="0C234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339"/>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100" w:type="dxa"/>
              <w:left w:w="140" w:type="dxa"/>
              <w:bottom w:w="100" w:type="dxa"/>
              <w:right w:w="140" w:type="dxa"/>
            </w:tcMar>
            <w:vAlign w:val="center"/>
          </w:tcPr>
          <w:p>
            <w:pPr>
              <w:keepNext w:val="0"/>
              <w:keepLines/>
              <w:pageBreakBefore w:val="0"/>
              <w:widowControl w:val="1"/>
              <w:spacing w:before="0" w:after="0"/>
              <w:jc w:val="right"/>
            </w:pPr>
            <w:r>
              <w:rPr>
                <w:rFonts w:ascii="Calibri" w:hAnsi="Calibri" w:cs="Calibri" w:eastAsia="Calibri"/>
                <w:b/>
                <w:i w:val="0"/>
                <w:color w:val="0C2340"/>
                <w:sz w:val="17"/>
                <w:u w:val="none"/>
              </w:rPr>
              <w:t>47% — $348,700</w:t>
            </w:r>
          </w:p>
        </w:tc>
      </w:tr>
      <w:tr>
        <w:trPr>
          <w:cantSplit/>
          <w:trHeight w:val="420" w:hRule="atLeast"/>
        </w:trPr>
        <w:tc>
          <w:tcPr>
            <w:tcW w:type="dxa" w:w="2826"/>
            <w:tcBorders>
              <w:top w:val="nil"/>
              <w:left w:val="nil"/>
              <w:bottom w:val="single" w:sz="4" w:space="0" w:color="DCE3ED"/>
              <w:right w:val="nil"/>
            </w:tcBorders>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FY2030</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356"/>
              <w:gridCol w:w="4295"/>
            </w:tblGrid>
            <w:tr>
              <w:trPr>
                <w:cantSplit/>
              </w:trPr>
              <w:tc>
                <w:tcPr>
                  <w:tcW w:type="dxa" w:w="1356"/>
                  <w:shd w:val="clear" w:color="auto" w:fill="1D6FE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4295"/>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100" w:type="dxa"/>
              <w:left w:w="140" w:type="dxa"/>
              <w:bottom w:w="100" w:type="dxa"/>
              <w:right w:w="140" w:type="dxa"/>
            </w:tcMar>
            <w:vAlign w:val="center"/>
          </w:tcPr>
          <w:p>
            <w:pPr>
              <w:keepNext w:val="0"/>
              <w:keepLines/>
              <w:pageBreakBefore w:val="0"/>
              <w:widowControl w:val="1"/>
              <w:spacing w:before="0" w:after="0"/>
              <w:jc w:val="right"/>
            </w:pPr>
            <w:r>
              <w:rPr>
                <w:rFonts w:ascii="Calibri" w:hAnsi="Calibri" w:cs="Calibri" w:eastAsia="Calibri"/>
                <w:b/>
                <w:i w:val="0"/>
                <w:color w:val="0C2340"/>
                <w:sz w:val="17"/>
                <w:u w:val="none"/>
              </w:rPr>
              <w:t>12% — $92,800</w:t>
            </w:r>
          </w:p>
        </w:tc>
      </w:tr>
      <w:tr>
        <w:trPr>
          <w:cantSplit/>
          <w:trHeight w:val="420" w:hRule="atLeast"/>
        </w:trPr>
        <w:tc>
          <w:tcPr>
            <w:tcW w:type="dxa" w:w="2826"/>
            <w:tcBorders>
              <w:top w:val="nil"/>
              <w:left w:val="nil"/>
              <w:bottom w:val="single" w:sz="4" w:space="0" w:color="DCE3ED"/>
              <w:right w:val="nil"/>
            </w:tcBorders>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FY2031</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2034"/>
              <w:gridCol w:w="3617"/>
            </w:tblGrid>
            <w:tr>
              <w:trPr>
                <w:cantSplit/>
              </w:trPr>
              <w:tc>
                <w:tcPr>
                  <w:tcW w:type="dxa" w:w="2034"/>
                  <w:shd w:val="clear" w:color="auto" w:fill="12B0CE"/>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3617"/>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100" w:type="dxa"/>
              <w:left w:w="140" w:type="dxa"/>
              <w:bottom w:w="100" w:type="dxa"/>
              <w:right w:w="140" w:type="dxa"/>
            </w:tcMar>
            <w:vAlign w:val="center"/>
          </w:tcPr>
          <w:p>
            <w:pPr>
              <w:keepNext w:val="0"/>
              <w:keepLines/>
              <w:pageBreakBefore w:val="0"/>
              <w:widowControl w:val="1"/>
              <w:spacing w:before="0" w:after="0"/>
              <w:jc w:val="right"/>
            </w:pPr>
            <w:r>
              <w:rPr>
                <w:rFonts w:ascii="Calibri" w:hAnsi="Calibri" w:cs="Calibri" w:eastAsia="Calibri"/>
                <w:b/>
                <w:i w:val="0"/>
                <w:color w:val="0C2340"/>
                <w:sz w:val="17"/>
                <w:u w:val="none"/>
              </w:rPr>
              <w:t>18% — $133,250</w:t>
            </w:r>
          </w:p>
        </w:tc>
      </w:tr>
      <w:tr>
        <w:trPr>
          <w:cantSplit/>
          <w:trHeight w:val="420" w:hRule="atLeast"/>
        </w:trPr>
        <w:tc>
          <w:tcPr>
            <w:tcW w:type="dxa" w:w="2826"/>
            <w:tcBorders>
              <w:top w:val="nil"/>
              <w:left w:val="nil"/>
              <w:bottom w:val="single" w:sz="4" w:space="0" w:color="DCE3ED"/>
              <w:right w:val="nil"/>
            </w:tcBorders>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FY2032</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2939"/>
              <w:gridCol w:w="2713"/>
            </w:tblGrid>
            <w:tr>
              <w:trPr>
                <w:cantSplit/>
              </w:trPr>
              <w:tc>
                <w:tcPr>
                  <w:tcW w:type="dxa" w:w="2939"/>
                  <w:shd w:val="clear" w:color="auto" w:fill="5B96EB"/>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2713"/>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100" w:type="dxa"/>
              <w:left w:w="140" w:type="dxa"/>
              <w:bottom w:w="100" w:type="dxa"/>
              <w:right w:w="140" w:type="dxa"/>
            </w:tcMar>
            <w:vAlign w:val="center"/>
          </w:tcPr>
          <w:p>
            <w:pPr>
              <w:keepNext w:val="0"/>
              <w:keepLines/>
              <w:pageBreakBefore w:val="0"/>
              <w:widowControl w:val="1"/>
              <w:spacing w:before="0" w:after="0"/>
              <w:jc w:val="right"/>
            </w:pPr>
            <w:r>
              <w:rPr>
                <w:rFonts w:ascii="Calibri" w:hAnsi="Calibri" w:cs="Calibri" w:eastAsia="Calibri"/>
                <w:b/>
                <w:i w:val="0"/>
                <w:color w:val="0C2340"/>
                <w:sz w:val="17"/>
                <w:u w:val="none"/>
              </w:rPr>
              <w:t>26% — $194,700</w:t>
            </w:r>
          </w:p>
        </w:tc>
      </w:tr>
    </w:tbl>
    <w:p>
      <w:pPr>
        <w:keepNext w:val="0"/>
        <w:keepLines/>
        <w:pageBreakBefore w:val="0"/>
        <w:widowControl w:val="1"/>
        <w:spacing w:before="80" w:after="0"/>
      </w:pPr>
      <w:r>
        <w:rPr>
          <w:rFonts w:ascii="Calibri" w:hAnsi="Calibri" w:cs="Calibri" w:eastAsia="Calibri"/>
          <w:b w:val="0"/>
          <w:i/>
          <w:color w:val="8493A8"/>
          <w:sz w:val="14"/>
          <w:u w:val="none"/>
        </w:rPr>
        <w:t>If every option is exercised the FY2029 exposure moves to FY2032 and WALE extends to 6.4 years. Options are the tenant's to exercise, not the landlord's.</w:t>
      </w:r>
    </w:p>
    <w:p>
      <w:pPr>
        <w:keepNext w:val="0"/>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06</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Income &amp; outgoings</w:t>
            </w:r>
          </w:p>
          <w:p>
            <w:pPr>
              <w:keepNext/>
              <w:keepLines/>
              <w:pageBreakBefore w:val="0"/>
              <w:widowControl w:val="1"/>
              <w:spacing w:before="0" w:after="0"/>
            </w:pPr>
            <w:r>
              <w:rPr>
                <w:rFonts w:ascii="Calibri" w:hAnsi="Calibri" w:cs="Calibri" w:eastAsia="Calibri"/>
                <w:b w:val="0"/>
                <w:i w:val="0"/>
                <w:caps w:val="1"/>
                <w:color w:val="1D6FE0"/>
                <w:spacing w:val="22"/>
                <w:sz w:val="14"/>
                <w:u w:val="none"/>
              </w:rPr>
              <w:t>Net income reconciliation</w:t>
            </w:r>
          </w:p>
        </w:tc>
      </w:tr>
    </w:tbl>
    <w:p>
      <w:pPr>
        <w:keepNext w:val="0"/>
        <w:keepLines/>
        <w:pageBreakBefore w:val="0"/>
        <w:widowControl w:val="1"/>
        <w:spacing w:before="0" w:after="0" w:line="2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Income and outgoings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Income and outgoings"/>
        <w:tblDescription w:val="Columns: Item, Amount p.a., Recoverable, Net effect"/>
      </w:tblPr>
      <w:tblGrid>
        <w:gridCol w:w="4195"/>
        <w:gridCol w:w="1928"/>
        <w:gridCol w:w="1701"/>
        <w:gridCol w:w="2268"/>
      </w:tblGrid>
      <w:tr>
        <w:trPr>
          <w:cantSplit/>
          <w:trHeight w:val="420" w:hRule="atLeast"/>
          <w:tblHeader/>
        </w:trPr>
        <w:tc>
          <w:tcPr>
            <w:tcW w:type="dxa" w:w="4195"/>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928"/>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 p.a.</w:t>
            </w:r>
          </w:p>
        </w:tc>
        <w:tc>
          <w:tcPr>
            <w:tcW w:type="dxa" w:w="1701"/>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Recoverable</w:t>
            </w:r>
          </w:p>
        </w:tc>
        <w:tc>
          <w:tcPr>
            <w:tcW w:type="dxa" w:w="2268"/>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Net effect</w:t>
            </w:r>
          </w:p>
        </w:tc>
      </w:tr>
      <w:tr>
        <w:trPr>
          <w:cantSplit/>
          <w:trHeight w:val="397" w:hRule="atLeast"/>
        </w:trPr>
        <w:tc>
          <w:tcPr>
            <w:tcW w:type="dxa" w:w="419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Gross passing rent</w:t>
            </w:r>
          </w:p>
        </w:tc>
        <w:tc>
          <w:tcPr>
            <w:tcW w:type="dxa" w:w="192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$769,450</w:t>
            </w:r>
          </w:p>
        </w:tc>
        <w:tc>
          <w:tcPr>
            <w:tcW w:type="dxa" w:w="170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226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$769,450</w:t>
            </w:r>
          </w:p>
        </w:tc>
      </w:tr>
      <w:tr>
        <w:trPr>
          <w:cantSplit/>
          <w:trHeight w:val="397" w:hRule="atLeast"/>
        </w:trPr>
        <w:tc>
          <w:tcPr>
            <w:tcW w:type="dxa" w:w="419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Structural vacancy allowance (3.5%)</w:t>
            </w:r>
          </w:p>
        </w:tc>
        <w:tc>
          <w:tcPr>
            <w:tcW w:type="dxa" w:w="192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-$26,931</w:t>
            </w:r>
          </w:p>
        </w:tc>
        <w:tc>
          <w:tcPr>
            <w:tcW w:type="dxa" w:w="170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226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-$26,931</w:t>
            </w:r>
          </w:p>
        </w:tc>
      </w:tr>
      <w:tr>
        <w:trPr>
          <w:cantSplit/>
          <w:trHeight w:val="397" w:hRule="atLeast"/>
        </w:trPr>
        <w:tc>
          <w:tcPr>
            <w:tcW w:type="dxa" w:w="419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Council rates</w:t>
            </w:r>
          </w:p>
        </w:tc>
        <w:tc>
          <w:tcPr>
            <w:tcW w:type="dxa" w:w="192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-$41,200</w:t>
            </w:r>
          </w:p>
        </w:tc>
        <w:tc>
          <w:tcPr>
            <w:tcW w:type="dxa" w:w="170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226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r>
      <w:tr>
        <w:trPr>
          <w:cantSplit/>
          <w:trHeight w:val="397" w:hRule="atLeast"/>
        </w:trPr>
        <w:tc>
          <w:tcPr>
            <w:tcW w:type="dxa" w:w="419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tax</w:t>
            </w:r>
          </w:p>
        </w:tc>
        <w:tc>
          <w:tcPr>
            <w:tcW w:type="dxa" w:w="192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-$68,400</w:t>
            </w:r>
          </w:p>
        </w:tc>
        <w:tc>
          <w:tcPr>
            <w:tcW w:type="dxa" w:w="170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226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r>
      <w:tr>
        <w:trPr>
          <w:cantSplit/>
          <w:trHeight w:val="397" w:hRule="atLeast"/>
        </w:trPr>
        <w:tc>
          <w:tcPr>
            <w:tcW w:type="dxa" w:w="419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Water and sewer</w:t>
            </w:r>
          </w:p>
        </w:tc>
        <w:tc>
          <w:tcPr>
            <w:tcW w:type="dxa" w:w="192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-$9,800</w:t>
            </w:r>
          </w:p>
        </w:tc>
        <w:tc>
          <w:tcPr>
            <w:tcW w:type="dxa" w:w="170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226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r>
      <w:tr>
        <w:trPr>
          <w:cantSplit/>
          <w:trHeight w:val="397" w:hRule="atLeast"/>
        </w:trPr>
        <w:tc>
          <w:tcPr>
            <w:tcW w:type="dxa" w:w="419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Insurance</w:t>
            </w:r>
          </w:p>
        </w:tc>
        <w:tc>
          <w:tcPr>
            <w:tcW w:type="dxa" w:w="192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-$18,600</w:t>
            </w:r>
          </w:p>
        </w:tc>
        <w:tc>
          <w:tcPr>
            <w:tcW w:type="dxa" w:w="170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226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r>
      <w:tr>
        <w:trPr>
          <w:cantSplit/>
          <w:trHeight w:val="397" w:hRule="atLeast"/>
        </w:trPr>
        <w:tc>
          <w:tcPr>
            <w:tcW w:type="dxa" w:w="419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Repairs and maintenance</w:t>
            </w:r>
          </w:p>
        </w:tc>
        <w:tc>
          <w:tcPr>
            <w:tcW w:type="dxa" w:w="192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-$22,000</w:t>
            </w:r>
          </w:p>
        </w:tc>
        <w:tc>
          <w:tcPr>
            <w:tcW w:type="dxa" w:w="170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Partial</w:t>
            </w:r>
          </w:p>
        </w:tc>
        <w:tc>
          <w:tcPr>
            <w:tcW w:type="dxa" w:w="226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-$8,800</w:t>
            </w:r>
          </w:p>
        </w:tc>
      </w:tr>
      <w:tr>
        <w:trPr>
          <w:cantSplit/>
          <w:trHeight w:val="397" w:hRule="atLeast"/>
        </w:trPr>
        <w:tc>
          <w:tcPr>
            <w:tcW w:type="dxa" w:w="419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Management fee</w:t>
            </w:r>
          </w:p>
        </w:tc>
        <w:tc>
          <w:tcPr>
            <w:tcW w:type="dxa" w:w="192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-$23,084</w:t>
            </w:r>
          </w:p>
        </w:tc>
        <w:tc>
          <w:tcPr>
            <w:tcW w:type="dxa" w:w="170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226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-$23,084</w:t>
            </w:r>
          </w:p>
        </w:tc>
      </w:tr>
      <w:tr>
        <w:trPr>
          <w:cantSplit/>
          <w:trHeight w:val="397" w:hRule="atLeast"/>
        </w:trPr>
        <w:tc>
          <w:tcPr>
            <w:tcW w:type="dxa" w:w="4195"/>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Net passing income</w:t>
            </w:r>
          </w:p>
        </w:tc>
        <w:tc>
          <w:tcPr>
            <w:tcW w:type="dxa" w:w="1928"/>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val="0"/>
              <w:keepLines/>
              <w:pageBreakBefore w:val="0"/>
              <w:widowControl w:val="1"/>
              <w:spacing w:before="0" w:after="0" w:line="293" w:lineRule="auto"/>
              <w:jc w:val="right"/>
            </w:pPr>
          </w:p>
        </w:tc>
        <w:tc>
          <w:tcPr>
            <w:tcW w:type="dxa" w:w="1701"/>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val="0"/>
              <w:keepLines/>
              <w:pageBreakBefore w:val="0"/>
              <w:widowControl w:val="1"/>
              <w:spacing w:before="0" w:after="0" w:line="293" w:lineRule="auto"/>
            </w:pPr>
          </w:p>
        </w:tc>
        <w:tc>
          <w:tcPr>
            <w:tcW w:type="dxa" w:w="2268"/>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$742,000</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Outgoings are fully recoverable under all four leases except for capital and structural repairs, which are the landlord's.</w:t>
      </w:r>
    </w:p>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07</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Capitalisation analysis</w:t>
            </w:r>
          </w:p>
          <w:p>
            <w:pPr>
              <w:keepNext/>
              <w:keepLines/>
              <w:pageBreakBefore w:val="0"/>
              <w:widowControl w:val="1"/>
              <w:spacing w:before="0" w:after="0"/>
            </w:pPr>
            <w:r>
              <w:rPr>
                <w:rFonts w:ascii="Calibri" w:hAnsi="Calibri" w:cs="Calibri" w:eastAsia="Calibri"/>
                <w:b w:val="0"/>
                <w:i w:val="0"/>
                <w:caps w:val="1"/>
                <w:color w:val="1D6FE0"/>
                <w:spacing w:val="22"/>
                <w:sz w:val="14"/>
                <w:u w:val="none"/>
              </w:rPr>
              <w:t>What it is worth</w:t>
            </w:r>
          </w:p>
        </w:tc>
      </w:tr>
    </w:tbl>
    <w:p>
      <w:pPr>
        <w:keepNext w:val="0"/>
        <w:keepLines/>
        <w:pageBreakBefore w:val="0"/>
        <w:widowControl w:val="1"/>
        <w:spacing w:before="0" w:after="0" w:line="2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Value at a range of capitalisation rates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Value at a range of capitalisation rates"/>
        <w:tblDescription w:val="Columns: Capitalisation rate, Implied value, $/m², Comment"/>
      </w:tblPr>
      <w:tblGrid>
        <w:gridCol w:w="2381"/>
        <w:gridCol w:w="2268"/>
        <w:gridCol w:w="1587"/>
        <w:gridCol w:w="3855"/>
      </w:tblGrid>
      <w:tr>
        <w:trPr>
          <w:cantSplit/>
          <w:trHeight w:val="420" w:hRule="atLeast"/>
          <w:tblHeader/>
        </w:trPr>
        <w:tc>
          <w:tcPr>
            <w:tcW w:type="dxa" w:w="2381"/>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Capitalisation rate</w:t>
            </w:r>
          </w:p>
        </w:tc>
        <w:tc>
          <w:tcPr>
            <w:tcW w:type="dxa" w:w="2268"/>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Implied value</w:t>
            </w:r>
          </w:p>
        </w:tc>
        <w:tc>
          <w:tcPr>
            <w:tcW w:type="dxa" w:w="1587"/>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$/m²</w:t>
            </w:r>
          </w:p>
        </w:tc>
        <w:tc>
          <w:tcPr>
            <w:tcW w:type="dxa" w:w="3855"/>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Comment</w:t>
            </w:r>
          </w:p>
        </w:tc>
      </w:tr>
      <w:tr>
        <w:trPr>
          <w:cantSplit/>
          <w:trHeight w:val="397" w:hRule="atLeast"/>
        </w:trPr>
        <w:tc>
          <w:tcPr>
            <w:tcW w:type="dxa" w:w="238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6.50%</w:t>
            </w:r>
          </w:p>
        </w:tc>
        <w:tc>
          <w:tcPr>
            <w:tcW w:type="dxa" w:w="226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$11,415,000</w:t>
            </w:r>
          </w:p>
        </w:tc>
        <w:tc>
          <w:tcPr>
            <w:tcW w:type="dxa" w:w="158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$2,368</w:t>
            </w:r>
          </w:p>
        </w:tc>
        <w:tc>
          <w:tcPr>
            <w:tcW w:type="dxa" w:w="385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Below precinct evidence</w:t>
            </w:r>
          </w:p>
        </w:tc>
      </w:tr>
      <w:tr>
        <w:trPr>
          <w:cantSplit/>
          <w:trHeight w:val="397" w:hRule="atLeast"/>
        </w:trPr>
        <w:tc>
          <w:tcPr>
            <w:tcW w:type="dxa" w:w="238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6.75%</w:t>
            </w:r>
          </w:p>
        </w:tc>
        <w:tc>
          <w:tcPr>
            <w:tcW w:type="dxa" w:w="226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$10,993,000</w:t>
            </w:r>
          </w:p>
        </w:tc>
        <w:tc>
          <w:tcPr>
            <w:tcW w:type="dxa" w:w="1587"/>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$2,281</w:t>
            </w:r>
          </w:p>
        </w:tc>
        <w:tc>
          <w:tcPr>
            <w:tcW w:type="dxa" w:w="385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Precinct evidence, long WALE</w:t>
            </w:r>
          </w:p>
        </w:tc>
      </w:tr>
      <w:tr>
        <w:trPr>
          <w:cantSplit/>
          <w:trHeight w:val="397" w:hRule="atLeast"/>
        </w:trPr>
        <w:tc>
          <w:tcPr>
            <w:tcW w:type="dxa" w:w="238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7.00%</w:t>
            </w:r>
          </w:p>
        </w:tc>
        <w:tc>
          <w:tcPr>
            <w:tcW w:type="dxa" w:w="226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$10,600,000</w:t>
            </w:r>
          </w:p>
        </w:tc>
        <w:tc>
          <w:tcPr>
            <w:tcW w:type="dxa" w:w="158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$2,199</w:t>
            </w:r>
          </w:p>
        </w:tc>
        <w:tc>
          <w:tcPr>
            <w:tcW w:type="dxa" w:w="385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Asking price</w:t>
            </w:r>
          </w:p>
        </w:tc>
      </w:tr>
      <w:tr>
        <w:trPr>
          <w:cantSplit/>
          <w:trHeight w:val="397" w:hRule="atLeast"/>
        </w:trPr>
        <w:tc>
          <w:tcPr>
            <w:tcW w:type="dxa" w:w="238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7.25%</w:t>
            </w:r>
          </w:p>
        </w:tc>
        <w:tc>
          <w:tcPr>
            <w:tcW w:type="dxa" w:w="226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$10,234,000</w:t>
            </w:r>
          </w:p>
        </w:tc>
        <w:tc>
          <w:tcPr>
            <w:tcW w:type="dxa" w:w="1587"/>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$2,123</w:t>
            </w:r>
          </w:p>
        </w:tc>
        <w:tc>
          <w:tcPr>
            <w:tcW w:type="dxa" w:w="385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Recommended maximum</w:t>
            </w:r>
          </w:p>
        </w:tc>
      </w:tr>
      <w:tr>
        <w:trPr>
          <w:cantSplit/>
          <w:trHeight w:val="397" w:hRule="atLeast"/>
        </w:trPr>
        <w:tc>
          <w:tcPr>
            <w:tcW w:type="dxa" w:w="238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7.50%</w:t>
            </w:r>
          </w:p>
        </w:tc>
        <w:tc>
          <w:tcPr>
            <w:tcW w:type="dxa" w:w="226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$9,893,000</w:t>
            </w:r>
          </w:p>
        </w:tc>
        <w:tc>
          <w:tcPr>
            <w:tcW w:type="dxa" w:w="158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$2,052</w:t>
            </w:r>
          </w:p>
        </w:tc>
        <w:tc>
          <w:tcPr>
            <w:tcW w:type="dxa" w:w="385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If Tenancy 1 does not renew</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Precinct evidence over the last twelve months ranges from 6.60% to 7.40%, with the tighter rates on assets with longer WALE and stronger covenants.</w:t>
      </w:r>
    </w:p>
    <w:p>
      <w:pPr>
        <w:keepNext w:val="0"/>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08</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Risks &amp; mitigations</w:t>
            </w:r>
          </w:p>
          <w:p>
            <w:pPr>
              <w:keepNext/>
              <w:keepLines/>
              <w:pageBreakBefore w:val="0"/>
              <w:widowControl w:val="1"/>
              <w:spacing w:before="0" w:after="0"/>
            </w:pPr>
            <w:r>
              <w:rPr>
                <w:rFonts w:ascii="Calibri" w:hAnsi="Calibri" w:cs="Calibri" w:eastAsia="Calibri"/>
                <w:b w:val="0"/>
                <w:i w:val="0"/>
                <w:caps w:val="1"/>
                <w:color w:val="1D6FE0"/>
                <w:spacing w:val="22"/>
                <w:sz w:val="14"/>
                <w:u w:val="none"/>
              </w:rPr>
              <w:t>Income at risk</w:t>
            </w:r>
          </w:p>
        </w:tc>
      </w:tr>
    </w:tbl>
    <w:p>
      <w:pPr>
        <w:keepNext w:val="0"/>
        <w:keepLines/>
        <w:pageBreakBefore w:val="0"/>
        <w:widowControl w:val="1"/>
        <w:spacing w:before="0" w:after="0" w:line="20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30"/>
          <w:sz w:val="15"/>
          <w:u w:val="none"/>
        </w:rPr>
        <w:t>Risks &amp; mitigations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amp; mitigation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Tenancy 1 is 47% of income and expires in 2.3 years</w:t>
            </w:r>
          </w:p>
        </w:tc>
        <w:tc>
          <w:tcPr>
            <w:tcW w:type="dxa" w:w="1413"/>
            <w:tcBorders>
              <w:top w:val="nil"/>
              <w:left w:val="nil"/>
              <w:bottom w:val="single" w:sz="4" w:space="0" w:color="DCE3ED"/>
              <w:right w:val="nil"/>
            </w:tcBorders>
            <w:shd w:val="clear" w:color="auto" w:fill="FBECEA"/>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Price at 7.25% rather than 7.00% to reflect the concentration. Begin renewal discussions at least twelve months before expiry.</w:t>
            </w:r>
          </w:p>
        </w:tc>
      </w:tr>
      <w:tr>
        <w:trPr>
          <w:cantSplit/>
        </w:trPr>
        <w:tc>
          <w:tcPr>
            <w:tcW w:type="dxa" w:w="403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Covenant strength is not investment grade on any tenancy</w:t>
            </w:r>
          </w:p>
        </w:tc>
        <w:tc>
          <w:tcPr>
            <w:tcW w:type="dxa" w:w="1413"/>
            <w:tcBorders>
              <w:top w:val="nil"/>
              <w:left w:val="nil"/>
              <w:bottom w:val="single" w:sz="4" w:space="0" w:color="DCE3ED"/>
              <w:right w:val="nil"/>
            </w:tcBorders>
            <w:shd w:val="clear" w:color="auto" w:fill="FBF1E0"/>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Obtain three years of financial statements and a bank guarantee of no less than six months' rent for each tenancy.</w:t>
            </w:r>
          </w:p>
        </w:tc>
      </w:tr>
      <w:tr>
        <w:trPr>
          <w:cantSplit/>
        </w:trPr>
        <w:tc>
          <w:tcPr>
            <w:tcW w:type="dxa" w:w="403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Capital expenditure — roof and hardstand</w:t>
            </w:r>
          </w:p>
        </w:tc>
        <w:tc>
          <w:tcPr>
            <w:tcW w:type="dxa" w:w="1413"/>
            <w:tcBorders>
              <w:top w:val="nil"/>
              <w:left w:val="nil"/>
              <w:bottom w:val="single" w:sz="4" w:space="0" w:color="DCE3ED"/>
              <w:right w:val="nil"/>
            </w:tcBorders>
            <w:shd w:val="clear" w:color="auto" w:fill="FBF1E0"/>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Roof is at 18 years against a 25-year life. Budget $340,000 within five years and reflect it in the price.</w:t>
            </w:r>
          </w:p>
        </w:tc>
      </w:tr>
      <w:tr>
        <w:trPr>
          <w:cantSplit/>
        </w:trPr>
        <w:tc>
          <w:tcPr>
            <w:tcW w:type="dxa" w:w="403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Precinct capitalisation rates soften</w:t>
            </w:r>
          </w:p>
        </w:tc>
        <w:tc>
          <w:tcPr>
            <w:tcW w:type="dxa" w:w="1413"/>
            <w:tcBorders>
              <w:top w:val="nil"/>
              <w:left w:val="nil"/>
              <w:bottom w:val="single" w:sz="4" w:space="0" w:color="DCE3ED"/>
              <w:right w:val="nil"/>
            </w:tcBorders>
            <w:shd w:val="clear" w:color="auto" w:fill="FBF1E0"/>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 50 basis point softening reduces value by approximately $710,000. Long WALE and fixed reviews provide partial protection.</w:t>
            </w:r>
          </w:p>
        </w:tc>
      </w:tr>
    </w:tbl>
    <w:p>
      <w:pPr>
        <w:keepNext w:val="0"/>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09</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Recommendation</w:t>
            </w:r>
          </w:p>
          <w:p>
            <w:pPr>
              <w:keepNext/>
              <w:keepLines/>
              <w:pageBreakBefore w:val="0"/>
              <w:widowControl w:val="1"/>
              <w:spacing w:before="0" w:after="0"/>
            </w:pPr>
            <w:r>
              <w:rPr>
                <w:rFonts w:ascii="Calibri" w:hAnsi="Calibri" w:cs="Calibri" w:eastAsia="Calibri"/>
                <w:b w:val="0"/>
                <w:i w:val="0"/>
                <w:caps w:val="1"/>
                <w:color w:val="1D6FE0"/>
                <w:spacing w:val="22"/>
                <w:sz w:val="14"/>
                <w:u w:val="none"/>
              </w:rPr>
              <w:t>Acquire, condition or decline</w:t>
            </w:r>
          </w:p>
        </w:tc>
      </w:tr>
    </w:tbl>
    <w:p>
      <w:pPr>
        <w:keepNext w:val="0"/>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80" w:type="dxa"/>
              <w:left w:w="210" w:type="dxa"/>
              <w:bottom w:w="180" w:type="dxa"/>
              <w:right w:w="210" w:type="dxa"/>
            </w:tcMar>
          </w:tcPr>
          <w:p>
            <w:pPr>
              <w:keepNext/>
              <w:keepLines/>
              <w:pageBreakBefore w:val="0"/>
              <w:widowControl w:val="1"/>
              <w:spacing w:before="0" w:after="100"/>
            </w:pPr>
            <w:r>
              <w:rPr>
                <w:rFonts w:ascii="Calibri" w:hAnsi="Calibri" w:cs="Calibri" w:eastAsia="Calibri"/>
                <w:b/>
                <w:i w:val="0"/>
                <w:caps w:val="1"/>
                <w:color w:val="1D6FE0"/>
                <w:spacing w:val="30"/>
                <w:sz w:val="15"/>
                <w:u w:val="none"/>
              </w:rPr>
              <w:t>RECOMMENDATION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Cambria" w:hAnsi="Cambria" w:cs="Cambria" w:eastAsia="Cambria"/>
                <w:b/>
                <w:i w:val="0"/>
                <w:color w:val="0C2340"/>
                <w:sz w:val="22"/>
                <w:u w:val="none"/>
              </w:rPr>
              <w:t>Acquire at or below $10,200,000 — a 7.25% passing yield — subject to satisfactory tenant financials and bank guarantees.</w:t>
            </w:r>
          </w:p>
          <w:p>
            <w:pPr>
              <w:keepNext w:val="0"/>
              <w:keepLines/>
              <w:pageBreakBefore w:val="0"/>
              <w:widowControl w:val="1"/>
              <w:spacing w:before="0" w:after="0" w:line="322" w:lineRule="auto"/>
            </w:pPr>
            <w:r>
              <w:rPr>
                <w:rFonts w:ascii="Calibri" w:hAnsi="Calibri" w:cs="Calibri" w:eastAsia="Calibri"/>
                <w:b w:val="0"/>
                <w:i w:val="0"/>
                <w:color w:val="10192A"/>
                <w:sz w:val="17"/>
                <w:u w:val="none"/>
              </w:rPr>
              <w:t>The asset's fundamentals are sound: a tight precinct, fully recoverable outgoings, fixed reviews and a building specification that suits the current and likely future tenant profile. The 25 basis point discount to the asking price is not a negotiation posture; it is the price of a 47% income concentration expiring inside three years.</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Next steps</w:t>
            </w:r>
          </w:p>
          <w:p>
            <w:pPr>
              <w:keepNext w:val="0"/>
              <w:keepLines/>
              <w:pageBreakBefore w:val="0"/>
              <w:widowControl w:val="1"/>
              <w:tabs>
                <w:tab w:val="left" w:pos="320"/>
              </w:tabs>
              <w:spacing w:before="0" w:after="0" w:line="322"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Request three years of financial statements for each tenancy.</w:t>
            </w:r>
          </w:p>
          <w:p>
            <w:pPr>
              <w:keepNext w:val="0"/>
              <w:keepLines/>
              <w:pageBreakBefore w:val="0"/>
              <w:widowControl w:val="1"/>
              <w:tabs>
                <w:tab w:val="left" w:pos="320"/>
              </w:tabs>
              <w:spacing w:before="80" w:after="0" w:line="322"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Require bank guarantees of six months' rent as a condition.</w:t>
            </w:r>
          </w:p>
          <w:p>
            <w:pPr>
              <w:keepNext w:val="0"/>
              <w:keepLines/>
              <w:pageBreakBefore w:val="0"/>
              <w:widowControl w:val="1"/>
              <w:tabs>
                <w:tab w:val="left" w:pos="320"/>
              </w:tabs>
              <w:spacing w:before="80" w:after="0" w:line="322"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Commission a roof and hardstand condition report.</w:t>
            </w:r>
          </w:p>
          <w:p>
            <w:pPr>
              <w:keepNext w:val="0"/>
              <w:keepLines/>
              <w:pageBreakBefore w:val="0"/>
              <w:widowControl w:val="1"/>
              <w:tabs>
                <w:tab w:val="left" w:pos="320"/>
              </w:tabs>
              <w:spacing w:before="80" w:after="0" w:line="322" w:lineRule="auto"/>
              <w:ind w:left="320" w:hanging="320"/>
            </w:pPr>
            <w:r>
              <w:rPr>
                <w:rFonts w:ascii="Calibri" w:hAnsi="Calibri" w:cs="Calibri" w:eastAsia="Calibri"/>
                <w:b/>
                <w:i w:val="0"/>
                <w:color w:val="1D6FE0"/>
                <w:sz w:val="19"/>
                <w:u w:val="none"/>
              </w:rPr>
              <w:t>4.</w:t>
            </w:r>
            <w:r>
              <w:rPr>
                <w:rFonts w:ascii="Calibri" w:hAnsi="Calibri" w:cs="Calibri" w:eastAsia="Calibri"/>
                <w:b w:val="0"/>
                <w:i w:val="0"/>
                <w:color w:val="10192A"/>
                <w:sz w:val="19"/>
                <w:u w:val="none"/>
              </w:rPr>
              <w:tab/>
              <w:t>Issue an offer at $10,200,000 subject to the above.</w:t>
            </w:r>
          </w:p>
        </w:tc>
      </w:tr>
    </w:tbl>
    <w:p>
      <w:pPr>
        <w:keepNext w:val="0"/>
        <w:keepLines/>
        <w:pageBreakBefore w:val="0"/>
        <w:widowControl w:val="1"/>
        <w:spacing w:before="0" w:after="0"/>
      </w:pPr>
      <w:r>
        <w:br w:type="page"/>
      </w:r>
    </w:p>
    <w:p>
      <w:pPr>
        <w:keepNext/>
        <w:keepLines/>
        <w:pageBreakBefore w:val="0"/>
        <w:widowControl w:val="1"/>
        <w:spacing w:before="0" w:after="80"/>
      </w:pPr>
      <w:r>
        <w:rPr>
          <w:rFonts w:ascii="Calibri" w:hAnsi="Calibri" w:cs="Calibri" w:eastAsia="Calibri"/>
          <w:b/>
          <w:i w:val="0"/>
          <w:caps w:val="1"/>
          <w:color w:val="1D6FE0"/>
          <w:spacing w:val="54"/>
          <w:sz w:val="15"/>
          <w:u w:val="none"/>
        </w:rPr>
        <w:t>APPENDIX A</w:t>
      </w:r>
    </w:p>
    <w:p>
      <w:pPr>
        <w:keepNext/>
        <w:keepLines/>
        <w:pageBreakBefore w:val="0"/>
        <w:widowControl w:val="1"/>
        <w:spacing w:before="0" w:after="120"/>
      </w:pPr>
      <w:r>
        <w:rPr>
          <w:rFonts w:ascii="Cambria" w:hAnsi="Cambria" w:cs="Cambria" w:eastAsia="Cambria"/>
          <w:b/>
          <w:i w:val="0"/>
          <w:color w:val="0C2340"/>
          <w:sz w:val="34"/>
          <w:u w:val="none"/>
        </w:rPr>
        <w:t>Lease abstracts</w:t>
      </w:r>
    </w:p>
    <w:p>
      <w:pPr>
        <w:keepNext w:val="0"/>
        <w:keepLines/>
        <w:pageBreakBefore w:val="0"/>
        <w:widowControl w:val="1"/>
        <w:pBdr>
          <w:bottom w:val="single" w:sz="10" w:space="1" w:color="1D6FE0"/>
        </w:pBdr>
        <w:spacing w:before="0" w:after="120" w:line="2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4C5B73"/>
          <w:sz w:val="19"/>
          <w:u w:val="none"/>
        </w:rPr>
        <w:t>One abstract per tenancy, with the terms that drive value.</w:t>
      </w:r>
    </w:p>
    <w:p>
      <w:pPr>
        <w:keepNext w:val="0"/>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Ref, Term, Tenancy 1, Tenancy 2, Tenancy 3, Tenancy 4"/>
      </w:tblPr>
      <w:tblGrid>
        <w:gridCol w:w="850"/>
        <w:gridCol w:w="2443"/>
        <w:gridCol w:w="1700"/>
        <w:gridCol w:w="1700"/>
        <w:gridCol w:w="1700"/>
        <w:gridCol w:w="1700"/>
      </w:tblGrid>
      <w:tr>
        <w:trPr>
          <w:cantSplit/>
          <w:trHeight w:val="420" w:hRule="atLeast"/>
          <w:tblHeader/>
        </w:trPr>
        <w:tc>
          <w:tcPr>
            <w:tcW w:type="dxa" w:w="850"/>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2443"/>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Term</w:t>
            </w:r>
          </w:p>
        </w:tc>
        <w:tc>
          <w:tcPr>
            <w:tcW w:type="dxa" w:w="1700"/>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Tenancy 1</w:t>
            </w:r>
          </w:p>
        </w:tc>
        <w:tc>
          <w:tcPr>
            <w:tcW w:type="dxa" w:w="1700"/>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Tenancy 2</w:t>
            </w:r>
          </w:p>
        </w:tc>
        <w:tc>
          <w:tcPr>
            <w:tcW w:type="dxa" w:w="1700"/>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Tenancy 3</w:t>
            </w:r>
          </w:p>
        </w:tc>
        <w:tc>
          <w:tcPr>
            <w:tcW w:type="dxa" w:w="1700"/>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Tenancy 4</w:t>
            </w:r>
          </w:p>
        </w:tc>
      </w:tr>
      <w:tr>
        <w:trPr>
          <w:cantSplit/>
          <w:trHeight w:val="397" w:hRule="atLeast"/>
        </w:trPr>
        <w:tc>
          <w:tcPr>
            <w:tcW w:type="dxa" w:w="85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A.1</w:t>
            </w:r>
          </w:p>
        </w:tc>
        <w:tc>
          <w:tcPr>
            <w:tcW w:type="dxa" w:w="2443"/>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Outgoings</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Full net</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Full net</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Full net</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Full net</w:t>
            </w:r>
          </w:p>
        </w:tc>
      </w:tr>
      <w:tr>
        <w:trPr>
          <w:cantSplit/>
          <w:trHeight w:val="397" w:hRule="atLeast"/>
        </w:trPr>
        <w:tc>
          <w:tcPr>
            <w:tcW w:type="dxa" w:w="85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A.2</w:t>
            </w:r>
          </w:p>
        </w:tc>
        <w:tc>
          <w:tcPr>
            <w:tcW w:type="dxa" w:w="2443"/>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Review basis</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3.5% fixed</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3.5% fixed</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3.5% fixed</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3.5% fixed</w:t>
            </w:r>
          </w:p>
        </w:tc>
      </w:tr>
      <w:tr>
        <w:trPr>
          <w:cantSplit/>
          <w:trHeight w:val="397" w:hRule="atLeast"/>
        </w:trPr>
        <w:tc>
          <w:tcPr>
            <w:tcW w:type="dxa" w:w="85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A.3</w:t>
            </w:r>
          </w:p>
        </w:tc>
        <w:tc>
          <w:tcPr>
            <w:tcW w:type="dxa" w:w="2443"/>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Market review</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At option</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At option</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At option</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At option</w:t>
            </w:r>
          </w:p>
        </w:tc>
      </w:tr>
      <w:tr>
        <w:trPr>
          <w:cantSplit/>
          <w:trHeight w:val="397" w:hRule="atLeast"/>
        </w:trPr>
        <w:tc>
          <w:tcPr>
            <w:tcW w:type="dxa" w:w="85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A.4</w:t>
            </w:r>
          </w:p>
        </w:tc>
        <w:tc>
          <w:tcPr>
            <w:tcW w:type="dxa" w:w="2443"/>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Bank guarantee</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 months</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 months</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 months</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None</w:t>
            </w:r>
          </w:p>
        </w:tc>
      </w:tr>
      <w:tr>
        <w:trPr>
          <w:cantSplit/>
          <w:trHeight w:val="397" w:hRule="atLeast"/>
        </w:trPr>
        <w:tc>
          <w:tcPr>
            <w:tcW w:type="dxa" w:w="85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A.5</w:t>
            </w:r>
          </w:p>
        </w:tc>
        <w:tc>
          <w:tcPr>
            <w:tcW w:type="dxa" w:w="2443"/>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Make good</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Full</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Full</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Full</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Partial</w:t>
            </w:r>
          </w:p>
        </w:tc>
      </w:tr>
      <w:tr>
        <w:trPr>
          <w:cantSplit/>
          <w:trHeight w:val="397" w:hRule="atLeast"/>
        </w:trPr>
        <w:tc>
          <w:tcPr>
            <w:tcW w:type="dxa" w:w="85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A.6</w:t>
            </w:r>
          </w:p>
        </w:tc>
        <w:tc>
          <w:tcPr>
            <w:tcW w:type="dxa" w:w="2443"/>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Assignment</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Consent</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Consent</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Consent</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Consent</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Important information</w:t>
            </w:r>
          </w:p>
          <w:p>
            <w:pPr>
              <w:keepNext/>
              <w:keepLines/>
              <w:pageBreakBefore w:val="0"/>
              <w:widowControl w:val="1"/>
              <w:spacing w:before="0" w:after="0"/>
            </w:pPr>
            <w:r>
              <w:rPr>
                <w:rFonts w:ascii="Calibri" w:hAnsi="Calibri" w:cs="Calibri" w:eastAsia="Calibri"/>
                <w:b w:val="0"/>
                <w:i w:val="0"/>
                <w:caps w:val="1"/>
                <w:color w:val="1D6FE0"/>
                <w:spacing w:val="22"/>
                <w:sz w:val="14"/>
                <w:u w:val="none"/>
              </w:rPr>
              <w:t>Disclaimer, privacy and terms</w:t>
            </w:r>
          </w:p>
        </w:tc>
      </w:tr>
    </w:tbl>
    <w:p>
      <w:pPr>
        <w:keepNext w:val="0"/>
        <w:keepLines/>
        <w:pageBreakBefore w:val="0"/>
        <w:widowControl w:val="1"/>
        <w:spacing w:before="0" w:after="0" w:line="200" w:lineRule="exact"/>
      </w:pPr>
      <w:r>
        <w:rPr>
          <w:sz w:val="2"/>
        </w:rPr>
      </w:r>
    </w:p>
    <w:p>
      <w:pPr>
        <w:keepNext/>
        <w:keepLines/>
        <w:pageBreakBefore w:val="0"/>
        <w:widowControl w:val="1"/>
        <w:spacing w:before="160" w:after="80"/>
      </w:pPr>
      <w:r>
        <w:rPr>
          <w:rFonts w:ascii="Cambria" w:hAnsi="Cambria" w:cs="Cambria" w:eastAsia="Cambria"/>
          <w:b/>
          <w:i w:val="0"/>
          <w:color w:val="0C2340"/>
          <w:sz w:val="21"/>
          <w:u w:val="none"/>
        </w:rPr>
        <w:t>Disclaimer</w:t>
      </w:r>
    </w:p>
    <w:p>
      <w:pPr>
        <w:keepNext w:val="0"/>
        <w:keepLines/>
        <w:pageBreakBefore w:val="0"/>
        <w:widowControl w:val="1"/>
        <w:spacing w:before="0" w:after="0" w:line="322"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mbria" w:hAnsi="Cambria" w:cs="Cambria" w:eastAsia="Cambria"/>
          <w:b/>
          <w:i w:val="0"/>
          <w:color w:val="0C2340"/>
          <w:sz w:val="21"/>
          <w:u w:val="none"/>
        </w:rPr>
        <w:t>Privacy</w:t>
      </w:r>
    </w:p>
    <w:p>
      <w:pPr>
        <w:keepNext w:val="0"/>
        <w:keepLines/>
        <w:pageBreakBefore w:val="0"/>
        <w:widowControl w:val="1"/>
        <w:spacing w:before="0" w:after="0" w:line="322"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mbria" w:hAnsi="Cambria" w:cs="Cambria" w:eastAsia="Cambria"/>
          <w:b/>
          <w:i w:val="0"/>
          <w:color w:val="0C2340"/>
          <w:sz w:val="21"/>
          <w:u w:val="none"/>
        </w:rPr>
        <w:t>Terms of use</w:t>
      </w:r>
    </w:p>
    <w:p>
      <w:pPr>
        <w:keepNext w:val="0"/>
        <w:keepLines/>
        <w:pageBreakBefore w:val="0"/>
        <w:widowControl w:val="1"/>
        <w:spacing w:before="0" w:after="0" w:line="322"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0"/>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0"/>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0"/>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0"/>
              <w:sz w:val="14"/>
              <w:u w:val="none"/>
            </w:rPr>
            <w:t>Commercial Property Assessment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22"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Property Assessment</dc:title>
  <dc:subject>Assessment of a commercial or industrial asset: tenancy, lease covenants, WALE, outgoings, capitalisation and the investment position.</dc:subject>
  <dc:creator>Aurixa Systems</dc:creator>
  <cp:keywords>Commercial property, Industrial assessment, Income asset,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