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Residual land value &amp; profitability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{{project.identity}}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24 UNITS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RESIDUAL LV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Contents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Feasibility metrics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Assumptions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Scheme &amp; yield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Revenue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Costs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Funding &amp; cash flow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Programme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Sensitivity analysis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10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11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Conclusion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Full model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Does the scheme work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Feasibility metrics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headline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RESIDUAL LAND VALUE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DEVELOPMENT PROFIT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MARGIN ON COST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PROJECT IRR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{{feasibility.residual}}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20% hurdle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{{feasibility.profit}}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asking land price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{{feasibility.margin}}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Hurdle 20%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{{feasibility.irr}}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Ungeared, 30 months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Assumptions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input, with its basis and date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Feasibility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9"/>
              <w:gridCol w:w="2893"/>
              <w:gridCol w:w="1929"/>
              <w:gridCol w:w="2893"/>
            </w:tblGrid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price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{{assumptions.land}}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Scheme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{{assumptions.scheme}}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Saleable area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{{assumptions.saleable}}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Construction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{{assumptions.buildRate}}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Professional fees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{{assumptions.profFees}}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Statutory contributions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{{assumptions.contributions}}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Contingency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{{assumptions.contingency}}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Selling costs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{{assumptions.sellingCosts}}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Finance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{{assumptions.financeRate}}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LVR / LCR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{{assumptions.lvr}}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Programme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{{assumptions.programme}}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Hurdle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{{assumptions.hurdle}}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Construction rate is from a quantity surveyor's elemental estimate dated 18 July 2026. Contributions are from the council's current contributions plan and are subject to indexation at the date of the construction certificate.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Scheme &amp; yield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is being built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Product mix and yield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oduct mix and yield"/>
        <w:tblDescription w:val="Columns: Product, Count, Avg area m², Total area m², Rate $/m², Avg price, Gross realisation"/>
      </w:tblPr>
      <w:tblGrid>
        <w:gridCol w:w="1743"/>
        <w:gridCol w:w="917"/>
        <w:gridCol w:w="1284"/>
        <w:gridCol w:w="1376"/>
        <w:gridCol w:w="1284"/>
        <w:gridCol w:w="1560"/>
        <w:gridCol w:w="1927"/>
      </w:tblGrid>
      <w:tr>
        <w:trPr>
          <w:cantSplit/>
          <w:trHeight w:val="420" w:hRule="atLeast"/>
          <w:tblHeader/>
        </w:trPr>
        <w:tc>
          <w:tcPr>
            <w:tcW w:type="dxa" w:w="17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Product</w:t>
            </w:r>
          </w:p>
        </w:tc>
        <w:tc>
          <w:tcPr>
            <w:tcW w:type="dxa" w:w="9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Count</w:t>
            </w:r>
          </w:p>
        </w:tc>
        <w:tc>
          <w:tcPr>
            <w:tcW w:type="dxa" w:w="12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area m²</w:t>
            </w:r>
          </w:p>
        </w:tc>
        <w:tc>
          <w:tcPr>
            <w:tcW w:type="dxa" w:w="137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Total area m²</w:t>
            </w:r>
          </w:p>
        </w:tc>
        <w:tc>
          <w:tcPr>
            <w:tcW w:type="dxa" w:w="12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 $/m²</w:t>
            </w:r>
          </w:p>
        </w:tc>
        <w:tc>
          <w:tcPr>
            <w:tcW w:type="dxa" w:w="15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price</w:t>
            </w:r>
          </w:p>
        </w:tc>
        <w:tc>
          <w:tcPr>
            <w:tcW w:type="dxa" w:w="192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realisation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24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91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2,184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$10,440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$22,985,200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Rates are from comparable off-the-plan sales in the precinct over the last nine months, adjusted for level, aspect and completion date.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Revenue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Gross realisation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Revenue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venue"/>
        <w:tblDescription w:val="Columns: Item, Basis, Amount"/>
      </w:tblPr>
      <w:tblGrid>
        <w:gridCol w:w="3515"/>
        <w:gridCol w:w="3742"/>
        <w:gridCol w:w="2835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Net realisation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$21,551,200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Costs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line, grouped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Development costs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evelopment costs"/>
        <w:tblDescription w:val="Columns: Group, Item, Basis, Amount"/>
      </w:tblPr>
      <w:tblGrid>
        <w:gridCol w:w="1928"/>
        <w:gridCol w:w="3288"/>
        <w:gridCol w:w="2835"/>
        <w:gridCol w:w="2041"/>
      </w:tblGrid>
      <w:tr>
        <w:trPr>
          <w:cantSplit/>
          <w:trHeight w:val="420" w:hRule="atLeast"/>
          <w:tblHeader/>
        </w:trPr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Group</w:t>
            </w:r>
          </w:p>
        </w:tc>
        <w:tc>
          <w:tcPr>
            <w:tcW w:type="dxa" w:w="32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development cost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$21,393,472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Construction is 57% of total cost, which is why the sensitivity in section nine is dominated by the build rate.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Funding &amp; cash flow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Drawdown against programme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Debt drawdown and repayment against programme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AREA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8493A8"/>
                <w:sz w:val="14"/>
                <w:u w:val="none"/>
              </w:rPr>
              <w:t>{{funding.series}}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30 months, peak debt $11.4m   ·   Source: Aurixa feasibility model   ·   Alt text: Debt peaks at $11.4m in month 24 and is repaid from settlements between months 27 and 30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Funding structure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unding structure"/>
        <w:tblDescription w:val="Columns: Facility, Limit, Rate, Drawn at peak, Purpose"/>
      </w:tblPr>
      <w:tblGrid>
        <w:gridCol w:w="2440"/>
        <w:gridCol w:w="1885"/>
        <w:gridCol w:w="1331"/>
        <w:gridCol w:w="1885"/>
        <w:gridCol w:w="2551"/>
      </w:tblGrid>
      <w:tr>
        <w:trPr>
          <w:cantSplit/>
          <w:trHeight w:val="420" w:hRule="atLeast"/>
          <w:tblHeader/>
        </w:trPr>
        <w:tc>
          <w:tcPr>
            <w:tcW w:type="dxa" w:w="244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188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88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Drawn at peak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Purpose</w:t>
            </w:r>
          </w:p>
        </w:tc>
      </w:tr>
      <w:tr>
        <w:trPr>
          <w:cantSplit/>
          <w:trHeight w:val="397" w:hRule="atLeast"/>
        </w:trPr>
        <w:tc>
          <w:tcPr>
            <w:tcW w:type="dxa" w:w="24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{{facility}}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3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{{drawn}}</w:t>
            </w:r>
          </w:p>
        </w:tc>
        <w:tc>
          <w:tcPr>
            <w:tcW w:type="dxa" w:w="25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</w:tr>
      <w:tr>
        <w:trPr>
          <w:cantSplit/>
          <w:trHeight w:val="397" w:hRule="atLeast"/>
        </w:trPr>
        <w:tc>
          <w:tcPr>
            <w:tcW w:type="dxa" w:w="24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{{facility}}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3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{{drawn}}</w:t>
            </w:r>
          </w:p>
        </w:tc>
        <w:tc>
          <w:tcPr>
            <w:tcW w:type="dxa" w:w="25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</w:tr>
      <w:tr>
        <w:trPr>
          <w:cantSplit/>
          <w:trHeight w:val="397" w:hRule="atLeast"/>
        </w:trPr>
        <w:tc>
          <w:tcPr>
            <w:tcW w:type="dxa" w:w="244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Peak debt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$12,670,000</w:t>
            </w:r>
          </w:p>
        </w:tc>
        <w:tc>
          <w:tcPr>
            <w:tcW w:type="dxa" w:w="133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$11,400,000</w:t>
            </w:r>
          </w:p>
        </w:tc>
        <w:tc>
          <w:tcPr>
            <w:tcW w:type="dxa" w:w="255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Peak debt of $11.4m is 49.6% of gross realisation and 53.3% of total development cost, both inside typical senior-debt parameters.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08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Programme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Acquisition to final settlement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Development programme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09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Sensitivity analysis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three inputs that matter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Sensitivity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ensitivity"/>
        <w:tblDescription w:val="Compares: Base, Build +5%, Revenue −5%, Programme +6 mths, Upside"/>
      </w:tblPr>
      <w:tblGrid>
        <w:gridCol w:w="2624"/>
        <w:gridCol w:w="1494"/>
        <w:gridCol w:w="1494"/>
        <w:gridCol w:w="1494"/>
        <w:gridCol w:w="1494"/>
        <w:gridCol w:w="149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Base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Build +5%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Revenue −5%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Programme +6 mths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Upside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Total cost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$21.39m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$22.03m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$21.39m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$21.65m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$21.39m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realisation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$21.55m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$21.55m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$20.47m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$21.55m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$22.63m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Development profit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$3.38m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$2.74m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$2.30m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$3.12m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$4.46m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Margin on cost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17.4%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14.1%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11.8%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16.0%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22.9%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Against 20% hurdle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Above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Residual land value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$3.72m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$3.12m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$2.68m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$3.48m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$4.74m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10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Risks &amp; mitigations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could break it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4"/>
          <w:sz w:val="15"/>
          <w:u w:val="none"/>
        </w:rPr>
        <w:t>Risks &amp;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11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Conclusion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Proceed, revise or abandon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CONCLUSION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{{report.conclusion}}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{{report.conclusionRationale}}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48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Full model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Line-level model output supporting the summaries above.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Line, Description, Quantity, Rate, Amount"/>
      </w:tblPr>
      <w:tblGrid>
        <w:gridCol w:w="1121"/>
        <w:gridCol w:w="4149"/>
        <w:gridCol w:w="1458"/>
        <w:gridCol w:w="1570"/>
        <w:gridCol w:w="1794"/>
      </w:tblGrid>
      <w:tr>
        <w:trPr>
          <w:cantSplit/>
          <w:trHeight w:val="420" w:hRule="atLeast"/>
          <w:tblHeader/>
        </w:trPr>
        <w:tc>
          <w:tcPr>
            <w:tcW w:type="dxa" w:w="11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41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Description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Quantity</w:t>
            </w:r>
          </w:p>
        </w:tc>
        <w:tc>
          <w:tcPr>
            <w:tcW w:type="dxa" w:w="15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7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Development Feasibility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Feasibility Report</dc:title>
  <dc:subject>Residual land value and profitability modelling for a development: costs, revenue, funding, programme and sensitivity.</dc:subject>
  <dc:creator>Aurixa Systems</dc:creator>
  <cp:keywords>Development feasibility, Residual land value, Project appraisal,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