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Residual land value &amp; profitability</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Development Feasibility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18–22 Sample Road, Marrickville — a 24-apartment scheme tested for profitability, funding and sensitivity.</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24 UNITS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RESIDUAL LV</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STRESS-TESTED</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aps w:val="1"/>
          <w:color w:val="0C2340"/>
          <w:spacing w:val="14"/>
          <w:sz w:val="25"/>
          <w:u w:val="none"/>
        </w:rPr>
        <w:t>Contents</w:t>
      </w:r>
    </w:p>
    <w:p>
      <w:pPr>
        <w:keepNext w:val="0"/>
        <w:keepLines/>
        <w:pageBreakBefore w:val="0"/>
        <w:widowControl w:val="1"/>
        <w:spacing w:before="0" w:after="0" w:line="160" w:lineRule="exact"/>
      </w:pPr>
      <w:r>
        <w:rPr>
          <w:sz w:val="2"/>
        </w:rPr>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01    </w:t>
      </w:r>
      <w:r>
        <w:rPr>
          <w:rFonts w:ascii="Calibri" w:hAnsi="Calibri" w:cs="Calibri" w:eastAsia="Calibri"/>
          <w:b w:val="0"/>
          <w:i w:val="0"/>
          <w:color w:val="10192A"/>
          <w:sz w:val="19"/>
          <w:u w:val="none"/>
        </w:rPr>
        <w:t>Executive summary</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02    </w:t>
      </w:r>
      <w:r>
        <w:rPr>
          <w:rFonts w:ascii="Calibri" w:hAnsi="Calibri" w:cs="Calibri" w:eastAsia="Calibri"/>
          <w:b w:val="0"/>
          <w:i w:val="0"/>
          <w:color w:val="10192A"/>
          <w:sz w:val="19"/>
          <w:u w:val="none"/>
        </w:rPr>
        <w:t>Feasibility metrics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03    </w:t>
      </w:r>
      <w:r>
        <w:rPr>
          <w:rFonts w:ascii="Calibri" w:hAnsi="Calibri" w:cs="Calibri" w:eastAsia="Calibri"/>
          <w:b w:val="0"/>
          <w:i w:val="0"/>
          <w:color w:val="10192A"/>
          <w:sz w:val="19"/>
          <w:u w:val="none"/>
        </w:rPr>
        <w:t>Assumptions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04    </w:t>
      </w:r>
      <w:r>
        <w:rPr>
          <w:rFonts w:ascii="Calibri" w:hAnsi="Calibri" w:cs="Calibri" w:eastAsia="Calibri"/>
          <w:b w:val="0"/>
          <w:i w:val="0"/>
          <w:color w:val="10192A"/>
          <w:sz w:val="19"/>
          <w:u w:val="none"/>
        </w:rPr>
        <w:t>Scheme &amp; yield</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05    </w:t>
      </w:r>
      <w:r>
        <w:rPr>
          <w:rFonts w:ascii="Calibri" w:hAnsi="Calibri" w:cs="Calibri" w:eastAsia="Calibri"/>
          <w:b w:val="0"/>
          <w:i w:val="0"/>
          <w:color w:val="10192A"/>
          <w:sz w:val="19"/>
          <w:u w:val="none"/>
        </w:rPr>
        <w:t>Revenue</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06    </w:t>
      </w:r>
      <w:r>
        <w:rPr>
          <w:rFonts w:ascii="Calibri" w:hAnsi="Calibri" w:cs="Calibri" w:eastAsia="Calibri"/>
          <w:b w:val="0"/>
          <w:i w:val="0"/>
          <w:color w:val="10192A"/>
          <w:sz w:val="19"/>
          <w:u w:val="none"/>
        </w:rPr>
        <w:t>Costs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07    </w:t>
      </w:r>
      <w:r>
        <w:rPr>
          <w:rFonts w:ascii="Calibri" w:hAnsi="Calibri" w:cs="Calibri" w:eastAsia="Calibri"/>
          <w:b w:val="0"/>
          <w:i w:val="0"/>
          <w:color w:val="10192A"/>
          <w:sz w:val="19"/>
          <w:u w:val="none"/>
        </w:rPr>
        <w:t>Funding &amp; cash flow</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08    </w:t>
      </w:r>
      <w:r>
        <w:rPr>
          <w:rFonts w:ascii="Calibri" w:hAnsi="Calibri" w:cs="Calibri" w:eastAsia="Calibri"/>
          <w:b w:val="0"/>
          <w:i w:val="0"/>
          <w:color w:val="10192A"/>
          <w:sz w:val="19"/>
          <w:u w:val="none"/>
        </w:rPr>
        <w:t>Programme</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09    </w:t>
      </w:r>
      <w:r>
        <w:rPr>
          <w:rFonts w:ascii="Calibri" w:hAnsi="Calibri" w:cs="Calibri" w:eastAsia="Calibri"/>
          <w:b w:val="0"/>
          <w:i w:val="0"/>
          <w:color w:val="10192A"/>
          <w:sz w:val="19"/>
          <w:u w:val="none"/>
        </w:rPr>
        <w:t>Sensitivity analysis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10    </w:t>
      </w:r>
      <w:r>
        <w:rPr>
          <w:rFonts w:ascii="Calibri" w:hAnsi="Calibri" w:cs="Calibri" w:eastAsia="Calibri"/>
          <w:b w:val="0"/>
          <w:i w:val="0"/>
          <w:color w:val="10192A"/>
          <w:sz w:val="19"/>
          <w:u w:val="none"/>
        </w:rPr>
        <w:t>Risks &amp; mitigations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11    </w:t>
      </w:r>
      <w:r>
        <w:rPr>
          <w:rFonts w:ascii="Calibri" w:hAnsi="Calibri" w:cs="Calibri" w:eastAsia="Calibri"/>
          <w:b w:val="0"/>
          <w:i w:val="0"/>
          <w:color w:val="10192A"/>
          <w:sz w:val="19"/>
          <w:u w:val="none"/>
        </w:rPr>
        <w:t>Conclusion</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A    </w:t>
      </w:r>
      <w:r>
        <w:rPr>
          <w:rFonts w:ascii="Calibri" w:hAnsi="Calibri" w:cs="Calibri" w:eastAsia="Calibri"/>
          <w:b w:val="0"/>
          <w:i w:val="0"/>
          <w:color w:val="10192A"/>
          <w:sz w:val="19"/>
          <w:u w:val="none"/>
        </w:rPr>
        <w:t>Full model</w:t>
      </w:r>
    </w:p>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Executive summary</w:t>
      </w:r>
    </w:p>
    <w:p>
      <w:pPr>
        <w:keepNext/>
        <w:keepLines/>
        <w:pageBreakBefore w:val="0"/>
        <w:widowControl w:val="1"/>
        <w:spacing w:before="100" w:after="0"/>
      </w:pPr>
      <w:r>
        <w:rPr>
          <w:rFonts w:ascii="Calibri" w:hAnsi="Calibri" w:cs="Calibri" w:eastAsia="Calibri"/>
          <w:b w:val="0"/>
          <w:i w:val="0"/>
          <w:color w:val="4C5B73"/>
          <w:sz w:val="15"/>
          <w:u w:val="none"/>
        </w:rPr>
        <w:t>Does the scheme work</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The scheme returns 17.4% on cost at a land price of $4.2m — above hurdle, but only 2.4 points above, and the margin is thin to construction cost.</w:t>
            </w:r>
          </w:p>
          <w:p>
            <w:pPr>
              <w:keepNext w:val="0"/>
              <w:keepLines/>
              <w:pageBreakBefore w:val="0"/>
              <w:widowControl w:val="1"/>
              <w:spacing w:before="0" w:after="0" w:line="307" w:lineRule="auto"/>
            </w:pPr>
            <w:r>
              <w:rPr>
                <w:rFonts w:ascii="Calibri" w:hAnsi="Calibri" w:cs="Calibri" w:eastAsia="Calibri"/>
                <w:b w:val="0"/>
                <w:i w:val="0"/>
                <w:color w:val="10192A"/>
                <w:sz w:val="19"/>
                <w:u w:val="none"/>
              </w:rPr>
              <w:t>On the assumptions in section three, a 24-apartment scheme produces a gross realisation of $22.8m against a total development cost of $19.4m, a development profit of $3.38m and a margin on cost of 17.4%. The residual land value at a 20% hurdle is $3.72m against an asking price of $4.2m.</w:t>
            </w:r>
          </w:p>
          <w:p>
            <w:pPr>
              <w:keepNext w:val="0"/>
              <w:keepLines/>
              <w:pageBreakBefore w:val="0"/>
              <w:widowControl w:val="1"/>
              <w:spacing w:before="100" w:after="0" w:line="307" w:lineRule="auto"/>
            </w:pPr>
            <w:r>
              <w:rPr>
                <w:rFonts w:ascii="Calibri" w:hAnsi="Calibri" w:cs="Calibri" w:eastAsia="Calibri"/>
                <w:b w:val="0"/>
                <w:i w:val="0"/>
                <w:color w:val="10192A"/>
                <w:sz w:val="19"/>
                <w:u w:val="none"/>
              </w:rPr>
              <w:t>The scheme therefore works at the hurdle only if the land is acquired below the asking price, or if construction comes in below the $4,180 per square metre allowed. Neither is unreasonable, but both are required.</w:t>
            </w:r>
          </w:p>
          <w:p>
            <w:pPr>
              <w:keepNext w:val="0"/>
              <w:keepLines/>
              <w:pageBreakBefore w:val="0"/>
              <w:widowControl w:val="1"/>
              <w:spacing w:before="100" w:after="0" w:line="307" w:lineRule="auto"/>
            </w:pPr>
            <w:r>
              <w:rPr>
                <w:rFonts w:ascii="Calibri" w:hAnsi="Calibri" w:cs="Calibri" w:eastAsia="Calibri"/>
                <w:b w:val="0"/>
                <w:i w:val="0"/>
                <w:color w:val="10192A"/>
                <w:sz w:val="19"/>
                <w:u w:val="none"/>
              </w:rPr>
              <w:t>Sensitivity is dominated by construction cost. A 5% increase — well inside the range seen in the last three years — removes $640,000 of profit and takes the margin on cost to 14.1%, below hurdle.</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What this means</w:t>
            </w:r>
          </w:p>
          <w:p>
            <w:pPr>
              <w:keepNext w:val="0"/>
              <w:keepLines/>
              <w:pageBreakBefore w:val="0"/>
              <w:widowControl w:val="1"/>
              <w:spacing w:before="0" w:after="0" w:line="307"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Margin on cost of 17.4% against a 20% hurdle at the asking land price.</w:t>
            </w:r>
          </w:p>
          <w:p>
            <w:pPr>
              <w:keepNext w:val="0"/>
              <w:keepLines/>
              <w:pageBreakBefore w:val="0"/>
              <w:widowControl w:val="1"/>
              <w:spacing w:before="80" w:after="0" w:line="307"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Residual land value at hurdle is $3.72m; the asking price is $4.2m.</w:t>
            </w:r>
          </w:p>
          <w:p>
            <w:pPr>
              <w:keepNext w:val="0"/>
              <w:keepLines/>
              <w:pageBreakBefore w:val="0"/>
              <w:widowControl w:val="1"/>
              <w:spacing w:before="80" w:after="0" w:line="307"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A 5% construction cost increase takes the scheme below hurdle.</w:t>
            </w:r>
          </w:p>
          <w:p>
            <w:pPr>
              <w:keepNext w:val="0"/>
              <w:keepLines/>
              <w:pageBreakBefore w:val="0"/>
              <w:widowControl w:val="1"/>
              <w:spacing w:before="80" w:after="0" w:line="307"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Do not proceed at the asking price without a fixed-price build contract.</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Feasibility metrics</w:t>
      </w:r>
    </w:p>
    <w:p>
      <w:pPr>
        <w:keepNext/>
        <w:keepLines/>
        <w:pageBreakBefore w:val="0"/>
        <w:widowControl w:val="1"/>
        <w:spacing w:before="100" w:after="0"/>
      </w:pPr>
      <w:r>
        <w:rPr>
          <w:rFonts w:ascii="Calibri" w:hAnsi="Calibri" w:cs="Calibri" w:eastAsia="Calibri"/>
          <w:b w:val="0"/>
          <w:i w:val="0"/>
          <w:color w:val="4C5B73"/>
          <w:sz w:val="15"/>
          <w:u w:val="none"/>
        </w:rPr>
        <w:t>The headline outcome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RESIDUAL LAND VALUE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DEVELOPMENT PROFIT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MARGIN ON COST</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PROJECT IRR</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$3.72m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20% hurdle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$3.38m</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asking land price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17.4%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Hurdle 20%</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21.8%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Ungeared, 30 months</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Assumptions</w:t>
      </w:r>
    </w:p>
    <w:p>
      <w:pPr>
        <w:keepNext/>
        <w:keepLines/>
        <w:pageBreakBefore w:val="0"/>
        <w:widowControl w:val="1"/>
        <w:spacing w:before="100" w:after="0"/>
      </w:pPr>
      <w:r>
        <w:rPr>
          <w:rFonts w:ascii="Calibri" w:hAnsi="Calibri" w:cs="Calibri" w:eastAsia="Calibri"/>
          <w:b w:val="0"/>
          <w:i w:val="0"/>
          <w:color w:val="4C5B73"/>
          <w:sz w:val="15"/>
          <w:u w:val="none"/>
        </w:rPr>
        <w:t>Every input, with its basis and date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Feasibility assumptions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9"/>
              <w:gridCol w:w="2893"/>
              <w:gridCol w:w="1929"/>
              <w:gridCol w:w="2893"/>
            </w:tblGrid>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Land price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$4,200,000 — asking</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Scheme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24 apartments over 4 levels</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Saleable area</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2,184 m²</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Construction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$4,180/m² GFA — QS advice</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Professional fees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9.5% of construction</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Statutory contributions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$1,140,000 — s7.11</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Contingency</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 of construction</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Selling costs</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3.2% of gross realisation</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Finance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8.95% — senior debt</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LVR / LCR</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65% of GRV</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Programme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months to final settlement</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Hurdle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20% margin on cost</w:t>
                  </w:r>
                </w:p>
              </w:tc>
            </w:tr>
          </w:tbl>
          <w:p/>
          <w:p>
            <w:pPr>
              <w:keepNext w:val="0"/>
              <w:keepLines/>
              <w:pageBreakBefore w:val="0"/>
              <w:widowControl w:val="1"/>
              <w:spacing w:before="120" w:after="0"/>
            </w:pPr>
            <w:r>
              <w:rPr>
                <w:rFonts w:ascii="Calibri" w:hAnsi="Calibri" w:cs="Calibri" w:eastAsia="Calibri"/>
                <w:b w:val="0"/>
                <w:i/>
                <w:color w:val="8493A8"/>
                <w:sz w:val="14"/>
                <w:u w:val="none"/>
              </w:rPr>
              <w:t>Construction rate is from a quantity surveyor's elemental estimate dated 18 July 2026. Contributions are from the council's current contributions plan and are subject to indexation at the date of the construction certificate.</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Scheme &amp; yield</w:t>
      </w:r>
    </w:p>
    <w:p>
      <w:pPr>
        <w:keepNext/>
        <w:keepLines/>
        <w:pageBreakBefore w:val="0"/>
        <w:widowControl w:val="1"/>
        <w:spacing w:before="100" w:after="0"/>
      </w:pPr>
      <w:r>
        <w:rPr>
          <w:rFonts w:ascii="Calibri" w:hAnsi="Calibri" w:cs="Calibri" w:eastAsia="Calibri"/>
          <w:b w:val="0"/>
          <w:i w:val="0"/>
          <w:color w:val="4C5B73"/>
          <w:sz w:val="15"/>
          <w:u w:val="none"/>
        </w:rPr>
        <w:t>What is being built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Product mix and yield</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duct mix and yield"/>
        <w:tblDescription w:val="Columns: Product, Count, Avg area m², Total area m², Rate $/m², Avg price, Gross realisation"/>
      </w:tblPr>
      <w:tblGrid>
        <w:gridCol w:w="1743"/>
        <w:gridCol w:w="917"/>
        <w:gridCol w:w="1284"/>
        <w:gridCol w:w="1376"/>
        <w:gridCol w:w="1284"/>
        <w:gridCol w:w="1560"/>
        <w:gridCol w:w="1927"/>
      </w:tblGrid>
      <w:tr>
        <w:trPr>
          <w:cantSplit/>
          <w:trHeight w:val="420" w:hRule="atLeast"/>
          <w:tblHeader/>
        </w:trPr>
        <w:tc>
          <w:tcPr>
            <w:tcW w:type="dxa" w:w="174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Product</w:t>
            </w:r>
          </w:p>
        </w:tc>
        <w:tc>
          <w:tcPr>
            <w:tcW w:type="dxa" w:w="91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Count</w:t>
            </w:r>
          </w:p>
        </w:tc>
        <w:tc>
          <w:tcPr>
            <w:tcW w:type="dxa" w:w="128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Avg area m²</w:t>
            </w:r>
          </w:p>
        </w:tc>
        <w:tc>
          <w:tcPr>
            <w:tcW w:type="dxa" w:w="137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Total area m²</w:t>
            </w:r>
          </w:p>
        </w:tc>
        <w:tc>
          <w:tcPr>
            <w:tcW w:type="dxa" w:w="128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 $/m²</w:t>
            </w:r>
          </w:p>
        </w:tc>
        <w:tc>
          <w:tcPr>
            <w:tcW w:type="dxa" w:w="156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Avg price</w:t>
            </w:r>
          </w:p>
        </w:tc>
        <w:tc>
          <w:tcPr>
            <w:tcW w:type="dxa" w:w="1927"/>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Gross realisation</w:t>
            </w:r>
          </w:p>
        </w:tc>
      </w:tr>
      <w:tr>
        <w:trPr>
          <w:cantSplit/>
          <w:trHeight w:val="397" w:hRule="atLeast"/>
        </w:trPr>
        <w:tc>
          <w:tcPr>
            <w:tcW w:type="dxa" w:w="1743"/>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bed</w:t>
            </w:r>
          </w:p>
        </w:tc>
        <w:tc>
          <w:tcPr>
            <w:tcW w:type="dxa" w:w="91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w:t>
            </w:r>
          </w:p>
        </w:tc>
        <w:tc>
          <w:tcPr>
            <w:tcW w:type="dxa" w:w="128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58</w:t>
            </w:r>
          </w:p>
        </w:tc>
        <w:tc>
          <w:tcPr>
            <w:tcW w:type="dxa" w:w="137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348</w:t>
            </w:r>
          </w:p>
        </w:tc>
        <w:tc>
          <w:tcPr>
            <w:tcW w:type="dxa" w:w="128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$10,200</w:t>
            </w:r>
          </w:p>
        </w:tc>
        <w:tc>
          <w:tcPr>
            <w:tcW w:type="dxa" w:w="156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$591,600</w:t>
            </w:r>
          </w:p>
        </w:tc>
        <w:tc>
          <w:tcPr>
            <w:tcW w:type="dxa" w:w="192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$3,549,600</w:t>
            </w:r>
          </w:p>
        </w:tc>
      </w:tr>
      <w:tr>
        <w:trPr>
          <w:cantSplit/>
          <w:trHeight w:val="397" w:hRule="atLeast"/>
        </w:trPr>
        <w:tc>
          <w:tcPr>
            <w:tcW w:type="dxa" w:w="1743"/>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 bed</w:t>
            </w:r>
          </w:p>
        </w:tc>
        <w:tc>
          <w:tcPr>
            <w:tcW w:type="dxa" w:w="91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w:t>
            </w:r>
          </w:p>
        </w:tc>
        <w:tc>
          <w:tcPr>
            <w:tcW w:type="dxa" w:w="128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88</w:t>
            </w:r>
          </w:p>
        </w:tc>
        <w:tc>
          <w:tcPr>
            <w:tcW w:type="dxa" w:w="137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1,056</w:t>
            </w:r>
          </w:p>
        </w:tc>
        <w:tc>
          <w:tcPr>
            <w:tcW w:type="dxa" w:w="128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$10,600</w:t>
            </w:r>
          </w:p>
        </w:tc>
        <w:tc>
          <w:tcPr>
            <w:tcW w:type="dxa" w:w="156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$932,800</w:t>
            </w:r>
          </w:p>
        </w:tc>
        <w:tc>
          <w:tcPr>
            <w:tcW w:type="dxa" w:w="192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$11,193,600</w:t>
            </w:r>
          </w:p>
        </w:tc>
      </w:tr>
      <w:tr>
        <w:trPr>
          <w:cantSplit/>
          <w:trHeight w:val="397" w:hRule="atLeast"/>
        </w:trPr>
        <w:tc>
          <w:tcPr>
            <w:tcW w:type="dxa" w:w="1743"/>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 bed + study</w:t>
            </w:r>
          </w:p>
        </w:tc>
        <w:tc>
          <w:tcPr>
            <w:tcW w:type="dxa" w:w="91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w:t>
            </w:r>
          </w:p>
        </w:tc>
        <w:tc>
          <w:tcPr>
            <w:tcW w:type="dxa" w:w="128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104</w:t>
            </w:r>
          </w:p>
        </w:tc>
        <w:tc>
          <w:tcPr>
            <w:tcW w:type="dxa" w:w="137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416</w:t>
            </w:r>
          </w:p>
        </w:tc>
        <w:tc>
          <w:tcPr>
            <w:tcW w:type="dxa" w:w="128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$10,800</w:t>
            </w:r>
          </w:p>
        </w:tc>
        <w:tc>
          <w:tcPr>
            <w:tcW w:type="dxa" w:w="156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$1,123,200</w:t>
            </w:r>
          </w:p>
        </w:tc>
        <w:tc>
          <w:tcPr>
            <w:tcW w:type="dxa" w:w="1927"/>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$4,492,800</w:t>
            </w:r>
          </w:p>
        </w:tc>
      </w:tr>
      <w:tr>
        <w:trPr>
          <w:cantSplit/>
          <w:trHeight w:val="397" w:hRule="atLeast"/>
        </w:trPr>
        <w:tc>
          <w:tcPr>
            <w:tcW w:type="dxa" w:w="1743"/>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 bed</w:t>
            </w:r>
          </w:p>
        </w:tc>
        <w:tc>
          <w:tcPr>
            <w:tcW w:type="dxa" w:w="91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w:t>
            </w:r>
          </w:p>
        </w:tc>
        <w:tc>
          <w:tcPr>
            <w:tcW w:type="dxa" w:w="128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182</w:t>
            </w:r>
          </w:p>
        </w:tc>
        <w:tc>
          <w:tcPr>
            <w:tcW w:type="dxa" w:w="137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364</w:t>
            </w:r>
          </w:p>
        </w:tc>
        <w:tc>
          <w:tcPr>
            <w:tcW w:type="dxa" w:w="128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$10,300</w:t>
            </w:r>
          </w:p>
        </w:tc>
        <w:tc>
          <w:tcPr>
            <w:tcW w:type="dxa" w:w="156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$1,874,600</w:t>
            </w:r>
          </w:p>
        </w:tc>
        <w:tc>
          <w:tcPr>
            <w:tcW w:type="dxa" w:w="1927"/>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$3,749,200</w:t>
            </w:r>
          </w:p>
        </w:tc>
      </w:tr>
      <w:tr>
        <w:trPr>
          <w:cantSplit/>
          <w:trHeight w:val="397" w:hRule="atLeast"/>
        </w:trPr>
        <w:tc>
          <w:tcPr>
            <w:tcW w:type="dxa" w:w="1743"/>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w:t>
            </w:r>
          </w:p>
        </w:tc>
        <w:tc>
          <w:tcPr>
            <w:tcW w:type="dxa" w:w="91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24</w:t>
            </w:r>
          </w:p>
        </w:tc>
        <w:tc>
          <w:tcPr>
            <w:tcW w:type="dxa" w:w="1284"/>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91</w:t>
            </w:r>
          </w:p>
        </w:tc>
        <w:tc>
          <w:tcPr>
            <w:tcW w:type="dxa" w:w="137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2,184</w:t>
            </w:r>
          </w:p>
        </w:tc>
        <w:tc>
          <w:tcPr>
            <w:tcW w:type="dxa" w:w="1284"/>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$10,440</w:t>
            </w:r>
          </w:p>
        </w:tc>
        <w:tc>
          <w:tcPr>
            <w:tcW w:type="dxa" w:w="1560"/>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c>
          <w:tcPr>
            <w:tcW w:type="dxa" w:w="1927"/>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$22,985,200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Rates are from comparable off-the-plan sales in the precinct over the last nine months, adjusted for level, aspect and completion date.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Revenue</w:t>
      </w:r>
    </w:p>
    <w:p>
      <w:pPr>
        <w:keepNext/>
        <w:keepLines/>
        <w:pageBreakBefore w:val="0"/>
        <w:widowControl w:val="1"/>
        <w:spacing w:before="100" w:after="0"/>
      </w:pPr>
      <w:r>
        <w:rPr>
          <w:rFonts w:ascii="Calibri" w:hAnsi="Calibri" w:cs="Calibri" w:eastAsia="Calibri"/>
          <w:b w:val="0"/>
          <w:i w:val="0"/>
          <w:color w:val="4C5B73"/>
          <w:sz w:val="15"/>
          <w:u w:val="none"/>
        </w:rPr>
        <w:t>Gross realisation</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Revenue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evenue"/>
        <w:tblDescription w:val="Columns: Item, Basis, Amount"/>
      </w:tblPr>
      <w:tblGrid>
        <w:gridCol w:w="3515"/>
        <w:gridCol w:w="3742"/>
        <w:gridCol w:w="2835"/>
      </w:tblGrid>
      <w:tr>
        <w:trPr>
          <w:cantSplit/>
          <w:trHeight w:val="420" w:hRule="atLeast"/>
          <w:tblHeader/>
        </w:trPr>
        <w:tc>
          <w:tcPr>
            <w:tcW w:type="dxa" w:w="351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374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283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Apartment sales</w:t>
            </w:r>
          </w:p>
        </w:tc>
        <w:tc>
          <w:tcPr>
            <w:tcW w:type="dxa" w:w="37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24 units per the mix above</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$22,985,200</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Car space sales</w:t>
            </w:r>
          </w:p>
        </w:tc>
        <w:tc>
          <w:tcPr>
            <w:tcW w:type="dxa" w:w="37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 surplus spaces at $65,000</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$520,000</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Storage cage sales</w:t>
            </w:r>
          </w:p>
        </w:tc>
        <w:tc>
          <w:tcPr>
            <w:tcW w:type="dxa" w:w="37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 cages at $12,000</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$216,000</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Less selling and marketing</w:t>
            </w:r>
          </w:p>
        </w:tc>
        <w:tc>
          <w:tcPr>
            <w:tcW w:type="dxa" w:w="374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3.2% of gross realisation</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-$758,000</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Less GST — margin scheme</w:t>
            </w:r>
          </w:p>
        </w:tc>
        <w:tc>
          <w:tcPr>
            <w:tcW w:type="dxa" w:w="374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Estimated</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-$1,412,000</w:t>
            </w:r>
          </w:p>
        </w:tc>
      </w:tr>
      <w:tr>
        <w:trPr>
          <w:cantSplit/>
          <w:trHeight w:val="397" w:hRule="atLeast"/>
        </w:trPr>
        <w:tc>
          <w:tcPr>
            <w:tcW w:type="dxa" w:w="3515"/>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Net realisation</w:t>
            </w:r>
          </w:p>
        </w:tc>
        <w:tc>
          <w:tcPr>
            <w:tcW w:type="dxa" w:w="374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283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$21,551,200</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06  </w:t>
      </w:r>
      <w:r>
        <w:rPr>
          <w:rFonts w:ascii="Calibri" w:hAnsi="Calibri" w:cs="Calibri" w:eastAsia="Calibri"/>
          <w:b/>
          <w:i w:val="0"/>
          <w:caps w:val="1"/>
          <w:color w:val="0C2340"/>
          <w:spacing w:val="14"/>
          <w:sz w:val="25"/>
          <w:u w:val="none"/>
        </w:rPr>
        <w:t>Costs</w:t>
      </w:r>
    </w:p>
    <w:p>
      <w:pPr>
        <w:keepNext/>
        <w:keepLines/>
        <w:pageBreakBefore w:val="0"/>
        <w:widowControl w:val="1"/>
        <w:spacing w:before="100" w:after="0"/>
      </w:pPr>
      <w:r>
        <w:rPr>
          <w:rFonts w:ascii="Calibri" w:hAnsi="Calibri" w:cs="Calibri" w:eastAsia="Calibri"/>
          <w:b w:val="0"/>
          <w:i w:val="0"/>
          <w:color w:val="4C5B73"/>
          <w:sz w:val="15"/>
          <w:u w:val="none"/>
        </w:rPr>
        <w:t>Every line, grouped</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Development costs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evelopment costs"/>
        <w:tblDescription w:val="Columns: Group, Item, Basis, Amount"/>
      </w:tblPr>
      <w:tblGrid>
        <w:gridCol w:w="1928"/>
        <w:gridCol w:w="3288"/>
        <w:gridCol w:w="2835"/>
        <w:gridCol w:w="2041"/>
      </w:tblGrid>
      <w:tr>
        <w:trPr>
          <w:cantSplit/>
          <w:trHeight w:val="420" w:hRule="atLeast"/>
          <w:tblHeader/>
        </w:trPr>
        <w:tc>
          <w:tcPr>
            <w:tcW w:type="dxa" w:w="19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Group</w:t>
            </w:r>
          </w:p>
        </w:tc>
        <w:tc>
          <w:tcPr>
            <w:tcW w:type="dxa" w:w="328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83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Basis</w:t>
            </w:r>
          </w:p>
        </w:tc>
        <w:tc>
          <w:tcPr>
            <w:tcW w:type="dxa" w:w="204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Acquisition</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Asking price</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$4,200,000</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Acquisition</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Stamp duty and legals</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NSW</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$232,000</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works</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 GFA at $4,180</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$12,289,200</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Contingency</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 of construction</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$614,460</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Professional</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Design and consultants</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9.5% of construction</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$1,167,474</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Professional</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Project management</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 of construction</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$184,338</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Statutory</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Section 7.11 contributions</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plan</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$1,140,000</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Statutory</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Authority and certification</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$186,000</w:t>
            </w:r>
          </w:p>
        </w:tc>
      </w:tr>
      <w:tr>
        <w:trPr>
          <w:cantSplit/>
          <w:trHeight w:val="397" w:hRule="atLeast"/>
        </w:trPr>
        <w:tc>
          <w:tcPr>
            <w:tcW w:type="dxa" w:w="1928"/>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Finance</w:t>
            </w:r>
          </w:p>
        </w:tc>
        <w:tc>
          <w:tcPr>
            <w:tcW w:type="dxa" w:w="328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Interest and line fees</w:t>
            </w:r>
          </w:p>
        </w:tc>
        <w:tc>
          <w:tcPr>
            <w:tcW w:type="dxa" w:w="283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8.95%, 30 months</w:t>
            </w:r>
          </w:p>
        </w:tc>
        <w:tc>
          <w:tcPr>
            <w:tcW w:type="dxa" w:w="204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$1,284,000</w:t>
            </w:r>
          </w:p>
        </w:tc>
      </w:tr>
      <w:tr>
        <w:trPr>
          <w:cantSplit/>
          <w:trHeight w:val="397" w:hRule="atLeast"/>
        </w:trPr>
        <w:tc>
          <w:tcPr>
            <w:tcW w:type="dxa" w:w="1928"/>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Holding</w:t>
            </w:r>
          </w:p>
        </w:tc>
        <w:tc>
          <w:tcPr>
            <w:tcW w:type="dxa" w:w="328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Rates, insurance, security</w:t>
            </w:r>
          </w:p>
        </w:tc>
        <w:tc>
          <w:tcPr>
            <w:tcW w:type="dxa" w:w="283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30 months</w:t>
            </w:r>
          </w:p>
        </w:tc>
        <w:tc>
          <w:tcPr>
            <w:tcW w:type="dxa" w:w="204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$96,000</w:t>
            </w:r>
          </w:p>
        </w:tc>
      </w:tr>
      <w:tr>
        <w:trPr>
          <w:cantSplit/>
          <w:trHeight w:val="397" w:hRule="atLeast"/>
        </w:trPr>
        <w:tc>
          <w:tcPr>
            <w:tcW w:type="dxa" w:w="1928"/>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328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development cost</w:t>
            </w:r>
          </w:p>
        </w:tc>
        <w:tc>
          <w:tcPr>
            <w:tcW w:type="dxa" w:w="283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204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$21,393,472</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Construction is 57% of total cost, which is why the sensitivity in section nine is dominated by the build rate.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07  </w:t>
      </w:r>
      <w:r>
        <w:rPr>
          <w:rFonts w:ascii="Calibri" w:hAnsi="Calibri" w:cs="Calibri" w:eastAsia="Calibri"/>
          <w:b/>
          <w:i w:val="0"/>
          <w:caps w:val="1"/>
          <w:color w:val="0C2340"/>
          <w:spacing w:val="14"/>
          <w:sz w:val="25"/>
          <w:u w:val="none"/>
        </w:rPr>
        <w:t>Funding &amp; cash flow</w:t>
      </w:r>
    </w:p>
    <w:p>
      <w:pPr>
        <w:keepNext/>
        <w:keepLines/>
        <w:pageBreakBefore w:val="0"/>
        <w:widowControl w:val="1"/>
        <w:spacing w:before="100" w:after="0"/>
      </w:pPr>
      <w:r>
        <w:rPr>
          <w:rFonts w:ascii="Calibri" w:hAnsi="Calibri" w:cs="Calibri" w:eastAsia="Calibri"/>
          <w:b w:val="0"/>
          <w:i w:val="0"/>
          <w:color w:val="4C5B73"/>
          <w:sz w:val="15"/>
          <w:u w:val="none"/>
        </w:rPr>
        <w:t>Drawdown against programme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061"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Debt drawdown and repayment against programme</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AREA CHART  ]</w:t>
            </w:r>
          </w:p>
          <w:p>
            <w:pPr>
              <w:keepNext/>
              <w:keepLines/>
              <w:pageBreakBefore w:val="0"/>
              <w:widowControl w:val="1"/>
              <w:spacing w:before="0" w:after="0"/>
              <w:jc w:val="center"/>
            </w:pPr>
            <w:r>
              <w:rPr>
                <w:rFonts w:ascii="Consolas" w:hAnsi="Consolas" w:cs="Consolas" w:eastAsia="Consolas"/>
                <w:b w:val="0"/>
                <w:i w:val="0"/>
                <w:color w:val="8493A8"/>
                <w:sz w:val="14"/>
                <w:u w:val="none"/>
              </w:rPr>
              <w:t>{{funding.series}}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30 months, peak debt $11.4m   ·   Source: Aurixa feasibility model   ·   Alt text: Debt peaks at $11.4m in month 24 and is repaid from settlements between months 27 and 30</w:t>
      </w:r>
    </w:p>
    <w:p>
      <w:pPr>
        <w:keepNext w:val="0"/>
        <w:keepLines/>
        <w:pageBreakBefore w:val="0"/>
        <w:widowControl w:val="1"/>
        <w:spacing w:before="0" w:after="0" w:line="9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Funding structure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Funding structure"/>
        <w:tblDescription w:val="Columns: Facility, Limit, Rate, Drawn at peak, Purpose"/>
      </w:tblPr>
      <w:tblGrid>
        <w:gridCol w:w="2440"/>
        <w:gridCol w:w="1885"/>
        <w:gridCol w:w="1331"/>
        <w:gridCol w:w="1885"/>
        <w:gridCol w:w="2551"/>
      </w:tblGrid>
      <w:tr>
        <w:trPr>
          <w:cantSplit/>
          <w:trHeight w:val="420" w:hRule="atLeast"/>
          <w:tblHeader/>
        </w:trPr>
        <w:tc>
          <w:tcPr>
            <w:tcW w:type="dxa" w:w="244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188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133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88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Drawn at peak</w:t>
            </w:r>
          </w:p>
        </w:tc>
        <w:tc>
          <w:tcPr>
            <w:tcW w:type="dxa" w:w="255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Purpose</w:t>
            </w:r>
          </w:p>
        </w:tc>
      </w:tr>
      <w:tr>
        <w:trPr>
          <w:cantSplit/>
          <w:trHeight w:val="397" w:hRule="atLeast"/>
        </w:trPr>
        <w:tc>
          <w:tcPr>
            <w:tcW w:type="dxa" w:w="2440"/>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facility</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$2,730,000</w:t>
            </w:r>
          </w:p>
        </w:tc>
        <w:tc>
          <w:tcPr>
            <w:tcW w:type="dxa" w:w="133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8.45%</w:t>
            </w:r>
          </w:p>
        </w:tc>
        <w:tc>
          <w:tcPr>
            <w:tcW w:type="dxa" w:w="1885"/>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$2,730,000</w:t>
            </w:r>
          </w:p>
        </w:tc>
        <w:tc>
          <w:tcPr>
            <w:tcW w:type="dxa" w:w="2551"/>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65% of land price</w:t>
            </w:r>
          </w:p>
        </w:tc>
      </w:tr>
      <w:tr>
        <w:trPr>
          <w:cantSplit/>
          <w:trHeight w:val="397" w:hRule="atLeast"/>
        </w:trPr>
        <w:tc>
          <w:tcPr>
            <w:tcW w:type="dxa" w:w="2440"/>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Construction facility</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$9,940,000</w:t>
            </w:r>
          </w:p>
        </w:tc>
        <w:tc>
          <w:tcPr>
            <w:tcW w:type="dxa" w:w="133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8.95%</w:t>
            </w:r>
          </w:p>
        </w:tc>
        <w:tc>
          <w:tcPr>
            <w:tcW w:type="dxa" w:w="1885"/>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$8,670,000</w:t>
            </w:r>
          </w:p>
        </w:tc>
        <w:tc>
          <w:tcPr>
            <w:tcW w:type="dxa" w:w="2551"/>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Progress claims</w:t>
            </w:r>
          </w:p>
        </w:tc>
      </w:tr>
      <w:tr>
        <w:trPr>
          <w:cantSplit/>
          <w:trHeight w:val="397" w:hRule="atLeast"/>
        </w:trPr>
        <w:tc>
          <w:tcPr>
            <w:tcW w:type="dxa" w:w="2440"/>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Peak debt</w:t>
            </w:r>
          </w:p>
        </w:tc>
        <w:tc>
          <w:tcPr>
            <w:tcW w:type="dxa" w:w="188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$12,670,000</w:t>
            </w:r>
          </w:p>
        </w:tc>
        <w:tc>
          <w:tcPr>
            <w:tcW w:type="dxa" w:w="133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p>
        </w:tc>
        <w:tc>
          <w:tcPr>
            <w:tcW w:type="dxa" w:w="1885"/>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$11,400,000</w:t>
            </w:r>
          </w:p>
        </w:tc>
        <w:tc>
          <w:tcPr>
            <w:tcW w:type="dxa" w:w="2551"/>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Peak debt of $11.4m is 49.6% of gross realisation and 53.3% of total development cost, both inside typical senior-debt parameters.</w:t>
      </w:r>
    </w:p>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08  </w:t>
      </w:r>
      <w:r>
        <w:rPr>
          <w:rFonts w:ascii="Calibri" w:hAnsi="Calibri" w:cs="Calibri" w:eastAsia="Calibri"/>
          <w:b/>
          <w:i w:val="0"/>
          <w:caps w:val="1"/>
          <w:color w:val="0C2340"/>
          <w:spacing w:val="14"/>
          <w:sz w:val="25"/>
          <w:u w:val="none"/>
        </w:rPr>
        <w:t>Programme</w:t>
      </w:r>
    </w:p>
    <w:p>
      <w:pPr>
        <w:keepNext/>
        <w:keepLines/>
        <w:pageBreakBefore w:val="0"/>
        <w:widowControl w:val="1"/>
        <w:spacing w:before="100" w:after="0"/>
      </w:pPr>
      <w:r>
        <w:rPr>
          <w:rFonts w:ascii="Calibri" w:hAnsi="Calibri" w:cs="Calibri" w:eastAsia="Calibri"/>
          <w:b w:val="0"/>
          <w:i w:val="0"/>
          <w:color w:val="4C5B73"/>
          <w:sz w:val="15"/>
          <w:u w:val="none"/>
        </w:rPr>
        <w:t>Acquisition to final settlement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Development programme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454"/>
        <w:gridCol w:w="7620"/>
      </w:tblGrid>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Land settlement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Land facility drawn; DA lodged</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7</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Development consent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Assumed; 7-month assessment</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9</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Construction certificate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Contributions paid on CC</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10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Construction commences</w:t>
            </w:r>
          </w:p>
          <w:p>
            <w:pPr>
              <w:keepNext w:val="0"/>
              <w:keepLines/>
              <w:pageBreakBefore w:val="0"/>
              <w:widowControl w:val="1"/>
              <w:spacing w:before="0" w:after="0" w:line="293" w:lineRule="auto"/>
            </w:pPr>
            <w:r>
              <w:rPr>
                <w:rFonts w:ascii="Calibri" w:hAnsi="Calibri" w:cs="Calibri" w:eastAsia="Calibri"/>
                <w:b w:val="0"/>
                <w:i w:val="0"/>
                <w:color w:val="4C5B73"/>
                <w:sz w:val="17"/>
                <w:u w:val="none"/>
              </w:rPr>
              <w:t>44-week build programme</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12</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Sales launch</w:t>
            </w:r>
          </w:p>
          <w:p>
            <w:pPr>
              <w:keepNext w:val="0"/>
              <w:keepLines/>
              <w:pageBreakBefore w:val="0"/>
              <w:widowControl w:val="1"/>
              <w:spacing w:before="0" w:after="0" w:line="293" w:lineRule="auto"/>
            </w:pPr>
            <w:r>
              <w:rPr>
                <w:rFonts w:ascii="Calibri" w:hAnsi="Calibri" w:cs="Calibri" w:eastAsia="Calibri"/>
                <w:b w:val="0"/>
                <w:i w:val="0"/>
                <w:color w:val="4C5B73"/>
                <w:sz w:val="17"/>
                <w:u w:val="none"/>
              </w:rPr>
              <w:t>Off-the-plan; 60% pre-sale target</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24</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Practical completion</w:t>
            </w:r>
          </w:p>
          <w:p>
            <w:pPr>
              <w:keepNext w:val="0"/>
              <w:keepLines/>
              <w:pageBreakBefore w:val="0"/>
              <w:widowControl w:val="1"/>
              <w:spacing w:before="0" w:after="0" w:line="293" w:lineRule="auto"/>
            </w:pPr>
            <w:r>
              <w:rPr>
                <w:rFonts w:ascii="Calibri" w:hAnsi="Calibri" w:cs="Calibri" w:eastAsia="Calibri"/>
                <w:b w:val="0"/>
                <w:i w:val="0"/>
                <w:color w:val="4C5B73"/>
                <w:sz w:val="17"/>
                <w:u w:val="none"/>
              </w:rPr>
              <w:t>Peak debt $11.4m</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26</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Occupation certificate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Strata registration</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27</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Settlements commence</w:t>
            </w:r>
          </w:p>
          <w:p>
            <w:pPr>
              <w:keepNext w:val="0"/>
              <w:keepLines/>
              <w:pageBreakBefore w:val="0"/>
              <w:widowControl w:val="1"/>
              <w:spacing w:before="0" w:after="0" w:line="293" w:lineRule="auto"/>
            </w:pPr>
            <w:r>
              <w:rPr>
                <w:rFonts w:ascii="Calibri" w:hAnsi="Calibri" w:cs="Calibri" w:eastAsia="Calibri"/>
                <w:b w:val="0"/>
                <w:i w:val="0"/>
                <w:color w:val="4C5B73"/>
                <w:sz w:val="17"/>
                <w:u w:val="none"/>
              </w:rPr>
              <w:t>Debt repayment begins</w:t>
            </w:r>
          </w:p>
        </w:tc>
      </w:tr>
      <w:tr>
        <w:trPr>
          <w:cantSplit/>
          <w:trHeight w:val="567" w:hRule="atLeast"/>
        </w:trPr>
        <w:tc>
          <w:tcPr>
            <w:tcW w:type="dxa" w:w="2018"/>
            <w:tcMar>
              <w:top w:w="88" w:type="dxa"/>
              <w:left w:w="123" w:type="dxa"/>
              <w:bottom w:w="88" w:type="dxa"/>
              <w:right w:w="123" w:type="dxa"/>
            </w:tcMar>
            <w:vAlign w:val="top"/>
          </w:tcPr>
          <w:p>
            <w:pPr>
              <w:keepNext w:val="0"/>
              <w:keepLines/>
              <w:pageBreakBefore w:val="0"/>
              <w:widowControl w:val="1"/>
              <w:spacing w:before="0" w:after="0" w:line="288" w:lineRule="auto"/>
              <w:jc w:val="right"/>
            </w:pPr>
            <w:r>
              <w:rPr>
                <w:rFonts w:ascii="Calibri" w:hAnsi="Calibri" w:cs="Calibri" w:eastAsia="Calibri"/>
                <w:b/>
                <w:i w:val="0"/>
                <w:caps w:val="1"/>
                <w:color w:val="1D6FE0"/>
                <w:spacing w:val="20"/>
                <w:sz w:val="15"/>
                <w:u w:val="none"/>
              </w:rPr>
              <w:t>Month 30</w:t>
            </w:r>
          </w:p>
        </w:tc>
        <w:tc>
          <w:tcPr>
            <w:tcW w:type="dxa" w:w="454"/>
            <w:tcBorders>
              <w:top w:val="nil"/>
              <w:left w:val="single" w:sz="14" w:space="0" w:color="1D6FE0"/>
              <w:bottom w:val="nil"/>
              <w:right w:val="nil"/>
            </w:tcBorders>
            <w:shd w:val="clear" w:color="auto" w:fill="DCE8FB"/>
            <w:tcMar>
              <w:top w:w="0" w:type="dxa"/>
              <w:left w:w="0" w:type="dxa"/>
              <w:bottom w:w="0" w:type="dxa"/>
              <w:right w:w="0" w:type="dxa"/>
            </w:tcMar>
          </w:tcPr>
          <w:p>
            <w:pPr>
              <w:keepNext w:val="0"/>
              <w:keepLines/>
              <w:pageBreakBefore w:val="0"/>
              <w:widowControl w:val="1"/>
              <w:spacing w:before="0" w:after="0"/>
            </w:pPr>
          </w:p>
        </w:tc>
        <w:tc>
          <w:tcPr>
            <w:tcW w:type="dxa" w:w="7620"/>
            <w:tcBorders>
              <w:top w:val="nil"/>
              <w:left w:val="nil"/>
              <w:bottom w:val="single" w:sz="4" w:space="0" w:color="DCE3ED"/>
              <w:right w:val="nil"/>
            </w:tcBorders>
            <w:tcMar>
              <w:top w:w="88" w:type="dxa"/>
              <w:left w:w="123" w:type="dxa"/>
              <w:bottom w:w="88" w:type="dxa"/>
              <w:right w:w="123" w:type="dxa"/>
            </w:tcMar>
            <w:vAlign w:val="top"/>
          </w:tcPr>
          <w:p>
            <w:pPr>
              <w:keepNext w:val="0"/>
              <w:keepLines/>
              <w:pageBreakBefore w:val="0"/>
              <w:widowControl w:val="1"/>
              <w:spacing w:before="0" w:after="20" w:line="288" w:lineRule="auto"/>
            </w:pPr>
            <w:r>
              <w:rPr>
                <w:rFonts w:ascii="Calibri" w:hAnsi="Calibri" w:cs="Calibri" w:eastAsia="Calibri"/>
                <w:b/>
                <w:i w:val="0"/>
                <w:color w:val="0C2340"/>
                <w:sz w:val="19"/>
                <w:u w:val="none"/>
              </w:rPr>
              <w:t>Final settlement</w:t>
            </w:r>
          </w:p>
          <w:p>
            <w:pPr>
              <w:keepNext w:val="0"/>
              <w:keepLines/>
              <w:pageBreakBefore w:val="0"/>
              <w:widowControl w:val="1"/>
              <w:spacing w:before="0" w:after="0" w:line="293" w:lineRule="auto"/>
            </w:pPr>
            <w:r>
              <w:rPr>
                <w:rFonts w:ascii="Calibri" w:hAnsi="Calibri" w:cs="Calibri" w:eastAsia="Calibri"/>
                <w:b w:val="0"/>
                <w:i w:val="0"/>
                <w:color w:val="4C5B73"/>
                <w:sz w:val="17"/>
                <w:u w:val="none"/>
              </w:rPr>
              <w:t>Facility discharged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09  </w:t>
      </w:r>
      <w:r>
        <w:rPr>
          <w:rFonts w:ascii="Calibri" w:hAnsi="Calibri" w:cs="Calibri" w:eastAsia="Calibri"/>
          <w:b/>
          <w:i w:val="0"/>
          <w:caps w:val="1"/>
          <w:color w:val="0C2340"/>
          <w:spacing w:val="14"/>
          <w:sz w:val="25"/>
          <w:u w:val="none"/>
        </w:rPr>
        <w:t>Sensitivity analysis</w:t>
      </w:r>
    </w:p>
    <w:p>
      <w:pPr>
        <w:keepNext/>
        <w:keepLines/>
        <w:pageBreakBefore w:val="0"/>
        <w:widowControl w:val="1"/>
        <w:spacing w:before="100" w:after="0"/>
      </w:pPr>
      <w:r>
        <w:rPr>
          <w:rFonts w:ascii="Calibri" w:hAnsi="Calibri" w:cs="Calibri" w:eastAsia="Calibri"/>
          <w:b w:val="0"/>
          <w:i w:val="0"/>
          <w:color w:val="4C5B73"/>
          <w:sz w:val="15"/>
          <w:u w:val="none"/>
        </w:rPr>
        <w:t>The three inputs that matter</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Sensitivity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ensitivity"/>
        <w:tblDescription w:val="Compares: Base, Build +5%, Revenue −5%, Programme +6 mths, Upside"/>
      </w:tblPr>
      <w:tblGrid>
        <w:gridCol w:w="2624"/>
        <w:gridCol w:w="1494"/>
        <w:gridCol w:w="1494"/>
        <w:gridCol w:w="1494"/>
        <w:gridCol w:w="1494"/>
        <w:gridCol w:w="1494"/>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pP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Base</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Build +5%</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Revenue −5%</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Programme +6 mths</w:t>
            </w:r>
          </w:p>
        </w:tc>
        <w:tc>
          <w:tcPr>
            <w:tcW w:type="dxa" w:w="1494"/>
            <w:tcBorders>
              <w:top w:val="nil"/>
              <w:left w:val="nil"/>
              <w:bottom w:val="single" w:sz="8" w:space="0" w:color="1D6FE0"/>
              <w:right w:val="nil"/>
            </w:tcBorders>
            <w:shd w:val="clear" w:color="auto" w:fill="1D6FE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Upside</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Total cost</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$21.39m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$22.03m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$21.39m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$21.65m</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$21.39m</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Net realisation</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$21.55m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$21.55m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$20.47m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$21.55m</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$22.63m</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Development profit</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$3.38m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$2.74m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$2.30m</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$3.12m</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$4.46m</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Margin on cost</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17.4%</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14.1%</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11.8%</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16.0%</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22.9%</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Against 20% hurdle</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Below</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Below</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Below</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Below</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Above</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Residual land value</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$3.72m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$3.12m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$2.68m</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$3.48m</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$4.74m</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10  </w:t>
      </w:r>
      <w:r>
        <w:rPr>
          <w:rFonts w:ascii="Calibri" w:hAnsi="Calibri" w:cs="Calibri" w:eastAsia="Calibri"/>
          <w:b/>
          <w:i w:val="0"/>
          <w:caps w:val="1"/>
          <w:color w:val="0C2340"/>
          <w:spacing w:val="14"/>
          <w:sz w:val="25"/>
          <w:u w:val="none"/>
        </w:rPr>
        <w:t>Risks &amp; mitigations</w:t>
      </w:r>
    </w:p>
    <w:p>
      <w:pPr>
        <w:keepNext/>
        <w:keepLines/>
        <w:pageBreakBefore w:val="0"/>
        <w:widowControl w:val="1"/>
        <w:spacing w:before="100" w:after="0"/>
      </w:pPr>
      <w:r>
        <w:rPr>
          <w:rFonts w:ascii="Calibri" w:hAnsi="Calibri" w:cs="Calibri" w:eastAsia="Calibri"/>
          <w:b w:val="0"/>
          <w:i w:val="0"/>
          <w:color w:val="4C5B73"/>
          <w:sz w:val="15"/>
          <w:u w:val="none"/>
        </w:rPr>
        <w:t>What could break it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4"/>
          <w:sz w:val="15"/>
          <w:u w:val="none"/>
        </w:rPr>
        <w:t>Risks &amp;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mp;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Construction cost exceeds the QS estimate</w:t>
            </w:r>
          </w:p>
        </w:tc>
        <w:tc>
          <w:tcPr>
            <w:tcW w:type="dxa" w:w="1413"/>
            <w:tcBorders>
              <w:top w:val="nil"/>
              <w:left w:val="nil"/>
              <w:bottom w:val="single" w:sz="4" w:space="0" w:color="DCE3ED"/>
              <w:right w:val="nil"/>
            </w:tcBorders>
            <w:shd w:val="clear" w:color="auto" w:fill="FBECEA"/>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Construction is 57% of cost and a 5% overrun takes the scheme below hurdle. Do not proceed without a fixed-price design-and-construct contract.</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Planning consent takes longer than seven months or is refused</w:t>
            </w:r>
          </w:p>
        </w:tc>
        <w:tc>
          <w:tcPr>
            <w:tcW w:type="dxa" w:w="1413"/>
            <w:tcBorders>
              <w:top w:val="nil"/>
              <w:left w:val="nil"/>
              <w:bottom w:val="single" w:sz="4" w:space="0" w:color="DCE3ED"/>
              <w:right w:val="nil"/>
            </w:tcBorders>
            <w:shd w:val="clear" w:color="auto" w:fill="FBECEA"/>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Make the land contract conditional on development consent, or price the land at the unconditional discount.</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Pre-sale target of 60% is not met</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Senior debt is conditional on pre-sales. Model a six-month delay and confirm the facility permits it.</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Apartment values soften before settlement</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5% fall removes $1.08m of profit. Off-the-plan contracts transfer some of this risk but increase settlement default exposure.</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Statutory contributions are indexed upward before CC</w:t>
            </w:r>
          </w:p>
        </w:tc>
        <w:tc>
          <w:tcPr>
            <w:tcW w:type="dxa" w:w="1413"/>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$1.14m is indexed quarterly. Budget a 4% increase and pay early where permitted.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11  </w:t>
      </w:r>
      <w:r>
        <w:rPr>
          <w:rFonts w:ascii="Calibri" w:hAnsi="Calibri" w:cs="Calibri" w:eastAsia="Calibri"/>
          <w:b/>
          <w:i w:val="0"/>
          <w:caps w:val="1"/>
          <w:color w:val="0C2340"/>
          <w:spacing w:val="14"/>
          <w:sz w:val="25"/>
          <w:u w:val="none"/>
        </w:rPr>
        <w:t>Conclusion</w:t>
      </w:r>
    </w:p>
    <w:p>
      <w:pPr>
        <w:keepNext/>
        <w:keepLines/>
        <w:pageBreakBefore w:val="0"/>
        <w:widowControl w:val="1"/>
        <w:spacing w:before="100" w:after="0"/>
      </w:pPr>
      <w:r>
        <w:rPr>
          <w:rFonts w:ascii="Calibri" w:hAnsi="Calibri" w:cs="Calibri" w:eastAsia="Calibri"/>
          <w:b w:val="0"/>
          <w:i w:val="0"/>
          <w:color w:val="4C5B73"/>
          <w:sz w:val="15"/>
          <w:u w:val="none"/>
        </w:rPr>
        <w:t>Proceed, revise or abandon</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58" w:type="dxa"/>
              <w:left w:w="184" w:type="dxa"/>
              <w:bottom w:w="158" w:type="dxa"/>
              <w:right w:w="184" w:type="dxa"/>
            </w:tcMar>
          </w:tcPr>
          <w:p>
            <w:pPr>
              <w:keepNext/>
              <w:keepLines/>
              <w:pageBreakBefore w:val="0"/>
              <w:widowControl w:val="1"/>
              <w:spacing w:before="0" w:after="100"/>
            </w:pPr>
            <w:r>
              <w:rPr>
                <w:rFonts w:ascii="Calibri" w:hAnsi="Calibri" w:cs="Calibri" w:eastAsia="Calibri"/>
                <w:b/>
                <w:i w:val="0"/>
                <w:caps w:val="1"/>
                <w:color w:val="1D6FE0"/>
                <w:spacing w:val="24"/>
                <w:sz w:val="15"/>
                <w:u w:val="none"/>
              </w:rPr>
              <w:t>CONCLUSION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Proceed only at a land price at or below $3,720,000 and with a fixed-price construction contract. Do not proceed at the $4,200,000 asking price on a cost-plus build.</w:t>
            </w:r>
          </w:p>
          <w:p>
            <w:pPr>
              <w:keepNext w:val="0"/>
              <w:keepLines/>
              <w:pageBreakBefore w:val="0"/>
              <w:widowControl w:val="1"/>
              <w:spacing w:before="0" w:after="0" w:line="307" w:lineRule="auto"/>
            </w:pPr>
            <w:r>
              <w:rPr>
                <w:rFonts w:ascii="Calibri" w:hAnsi="Calibri" w:cs="Calibri" w:eastAsia="Calibri"/>
                <w:b w:val="0"/>
                <w:i w:val="0"/>
                <w:color w:val="10192A"/>
                <w:sz w:val="17"/>
                <w:u w:val="none"/>
              </w:rPr>
              <w:t>The scheme is viable but the margin is thin, and the thinness is entirely attributable to two variables that can both be fixed contractually: the land price and the build rate. Fixing both converts a marginal feasibility into a sound one. Fixing neither leaves a 17.4% margin exposed to a construction market that has moved more than 5% in each of the last three years.</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Next steps</w:t>
            </w:r>
          </w:p>
          <w:p>
            <w:pPr>
              <w:keepNext w:val="0"/>
              <w:keepLines/>
              <w:pageBreakBefore w:val="0"/>
              <w:widowControl w:val="1"/>
              <w:tabs>
                <w:tab w:val="left" w:pos="320"/>
              </w:tabs>
              <w:spacing w:before="0" w:after="0" w:line="307"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Offer $3,720,000 for the land, conditional on development consent.</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Tender the build as fixed-price design and construct before committing.</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Confirm the senior debt facility permits a six-month pre-sale delay.</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4.</w:t>
            </w:r>
            <w:r>
              <w:rPr>
                <w:rFonts w:ascii="Calibri" w:hAnsi="Calibri" w:cs="Calibri" w:eastAsia="Calibri"/>
                <w:b w:val="0"/>
                <w:i w:val="0"/>
                <w:color w:val="10192A"/>
                <w:sz w:val="19"/>
                <w:u w:val="none"/>
              </w:rPr>
              <w:tab/>
              <w:t>Re-run this feasibility on the tendered build price before settlement.</w:t>
            </w:r>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1D6FE0"/>
          <w:spacing w:val="48"/>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Full model</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07" w:lineRule="auto"/>
      </w:pPr>
      <w:r>
        <w:rPr>
          <w:rFonts w:ascii="Calibri" w:hAnsi="Calibri" w:cs="Calibri" w:eastAsia="Calibri"/>
          <w:b w:val="0"/>
          <w:i w:val="0"/>
          <w:color w:val="4C5B73"/>
          <w:sz w:val="19"/>
          <w:u w:val="none"/>
        </w:rPr>
        <w:t>Line-level model output supporting the summaries above.</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Line, Description, Quantity, Rate, Amount"/>
      </w:tblPr>
      <w:tblGrid>
        <w:gridCol w:w="1121"/>
        <w:gridCol w:w="4149"/>
        <w:gridCol w:w="1458"/>
        <w:gridCol w:w="1570"/>
        <w:gridCol w:w="1794"/>
      </w:tblGrid>
      <w:tr>
        <w:trPr>
          <w:cantSplit/>
          <w:trHeight w:val="420" w:hRule="atLeast"/>
          <w:tblHeader/>
        </w:trPr>
        <w:tc>
          <w:tcPr>
            <w:tcW w:type="dxa" w:w="1121"/>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Line</w:t>
            </w:r>
          </w:p>
        </w:tc>
        <w:tc>
          <w:tcPr>
            <w:tcW w:type="dxa" w:w="4149"/>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Description</w:t>
            </w:r>
          </w:p>
        </w:tc>
        <w:tc>
          <w:tcPr>
            <w:tcW w:type="dxa" w:w="145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Quantity</w:t>
            </w:r>
          </w:p>
        </w:tc>
        <w:tc>
          <w:tcPr>
            <w:tcW w:type="dxa" w:w="1570"/>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7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r>
      <w:tr>
        <w:trPr>
          <w:cantSplit/>
          <w:trHeight w:val="397" w:hRule="atLeast"/>
        </w:trPr>
        <w:tc>
          <w:tcPr>
            <w:tcW w:type="dxa" w:w="112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1.01</w:t>
            </w:r>
          </w:p>
        </w:tc>
        <w:tc>
          <w:tcPr>
            <w:tcW w:type="dxa" w:w="41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acquisition</w:t>
            </w:r>
          </w:p>
        </w:tc>
        <w:tc>
          <w:tcPr>
            <w:tcW w:type="dxa" w:w="145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$4,200,000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$4,200,000</w:t>
            </w:r>
          </w:p>
        </w:tc>
      </w:tr>
      <w:tr>
        <w:trPr>
          <w:cantSplit/>
          <w:trHeight w:val="397" w:hRule="atLeast"/>
        </w:trPr>
        <w:tc>
          <w:tcPr>
            <w:tcW w:type="dxa" w:w="112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1.02</w:t>
            </w:r>
          </w:p>
        </w:tc>
        <w:tc>
          <w:tcPr>
            <w:tcW w:type="dxa" w:w="41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Transfer duty</w:t>
            </w:r>
          </w:p>
        </w:tc>
        <w:tc>
          <w:tcPr>
            <w:tcW w:type="dxa" w:w="145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$232,000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$232,000</w:t>
            </w:r>
          </w:p>
        </w:tc>
      </w:tr>
      <w:tr>
        <w:trPr>
          <w:cantSplit/>
          <w:trHeight w:val="397" w:hRule="atLeast"/>
        </w:trPr>
        <w:tc>
          <w:tcPr>
            <w:tcW w:type="dxa" w:w="112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2.01</w:t>
            </w:r>
          </w:p>
        </w:tc>
        <w:tc>
          <w:tcPr>
            <w:tcW w:type="dxa" w:w="41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Demolition and site preparation</w:t>
            </w:r>
          </w:p>
        </w:tc>
        <w:tc>
          <w:tcPr>
            <w:tcW w:type="dxa" w:w="145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$186,000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$186,000</w:t>
            </w:r>
          </w:p>
        </w:tc>
      </w:tr>
      <w:tr>
        <w:trPr>
          <w:cantSplit/>
          <w:trHeight w:val="397" w:hRule="atLeast"/>
        </w:trPr>
        <w:tc>
          <w:tcPr>
            <w:tcW w:type="dxa" w:w="112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2.02</w:t>
            </w:r>
          </w:p>
        </w:tc>
        <w:tc>
          <w:tcPr>
            <w:tcW w:type="dxa" w:w="41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Substructure</w:t>
            </w:r>
          </w:p>
        </w:tc>
        <w:tc>
          <w:tcPr>
            <w:tcW w:type="dxa" w:w="145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$412</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$1,211,280</w:t>
            </w:r>
          </w:p>
        </w:tc>
      </w:tr>
      <w:tr>
        <w:trPr>
          <w:cantSplit/>
          <w:trHeight w:val="397" w:hRule="atLeast"/>
        </w:trPr>
        <w:tc>
          <w:tcPr>
            <w:tcW w:type="dxa" w:w="112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2.03</w:t>
            </w:r>
          </w:p>
        </w:tc>
        <w:tc>
          <w:tcPr>
            <w:tcW w:type="dxa" w:w="41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Superstructure</w:t>
            </w:r>
          </w:p>
        </w:tc>
        <w:tc>
          <w:tcPr>
            <w:tcW w:type="dxa" w:w="145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$1,860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$5,468,400</w:t>
            </w:r>
          </w:p>
        </w:tc>
      </w:tr>
      <w:tr>
        <w:trPr>
          <w:cantSplit/>
          <w:trHeight w:val="397" w:hRule="atLeast"/>
        </w:trPr>
        <w:tc>
          <w:tcPr>
            <w:tcW w:type="dxa" w:w="112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2.04</w:t>
            </w:r>
          </w:p>
        </w:tc>
        <w:tc>
          <w:tcPr>
            <w:tcW w:type="dxa" w:w="41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Fit-out and finishes</w:t>
            </w:r>
          </w:p>
        </w:tc>
        <w:tc>
          <w:tcPr>
            <w:tcW w:type="dxa" w:w="145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$1,240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$3,645,600</w:t>
            </w:r>
          </w:p>
        </w:tc>
      </w:tr>
      <w:tr>
        <w:trPr>
          <w:cantSplit/>
          <w:trHeight w:val="397" w:hRule="atLeast"/>
        </w:trPr>
        <w:tc>
          <w:tcPr>
            <w:tcW w:type="dxa" w:w="1121"/>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2.05</w:t>
            </w:r>
          </w:p>
        </w:tc>
        <w:tc>
          <w:tcPr>
            <w:tcW w:type="dxa" w:w="4149"/>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Services</w:t>
            </w:r>
          </w:p>
        </w:tc>
        <w:tc>
          <w:tcPr>
            <w:tcW w:type="dxa" w:w="145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2,940 m²</w:t>
            </w:r>
          </w:p>
        </w:tc>
        <w:tc>
          <w:tcPr>
            <w:tcW w:type="dxa" w:w="1570"/>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$560</w:t>
            </w:r>
          </w:p>
        </w:tc>
        <w:tc>
          <w:tcPr>
            <w:tcW w:type="dxa" w:w="17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$1,646,400</w:t>
            </w:r>
          </w:p>
        </w:tc>
      </w:tr>
      <w:tr>
        <w:trPr>
          <w:cantSplit/>
          <w:trHeight w:val="397" w:hRule="atLeast"/>
        </w:trPr>
        <w:tc>
          <w:tcPr>
            <w:tcW w:type="dxa" w:w="1121"/>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2.06</w:t>
            </w:r>
          </w:p>
        </w:tc>
        <w:tc>
          <w:tcPr>
            <w:tcW w:type="dxa" w:w="4149"/>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External works and landscaping</w:t>
            </w:r>
          </w:p>
        </w:tc>
        <w:tc>
          <w:tcPr>
            <w:tcW w:type="dxa" w:w="145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570"/>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$131,520</w:t>
            </w:r>
          </w:p>
        </w:tc>
        <w:tc>
          <w:tcPr>
            <w:tcW w:type="dxa" w:w="17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$131,520</w:t>
            </w:r>
          </w:p>
        </w:tc>
      </w:tr>
    </w:tbl>
    <w:p>
      <w:pPr>
        <w:keepNext w:val="0"/>
        <w:keepLines/>
        <w:pageBreakBefore w:val="0"/>
        <w:widowControl w:val="1"/>
        <w:spacing w:before="0" w:after="0"/>
      </w:pPr>
      <w:r>
        <w:br w:type="page"/>
      </w:r>
    </w:p>
    <w:p>
      <w:pPr>
        <w:keepNext/>
        <w:keepLines/>
        <w:pageBreakBefore w:val="0"/>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Development Feasibility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Development Feasibility Report</dc:title>
  <dc:subject>Residual land value and profitability modelling for a development: costs, revenue, funding, programme and sensitivity.</dc:subject>
  <dc:creator>Aurixa Systems</dc:creator>
  <cp:keywords>Development feasibility, Residual land value, Project appraisal,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