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037"/>
        <w:gridCol w:w="6055"/>
      </w:tblGrid>
      <w:tr>
        <w:trPr>
          <w:cantSplit/>
          <w:trHeight w:val="8504" w:hRule="atLeast"/>
        </w:trPr>
        <w:tc>
          <w:tcPr>
            <w:tcW w:type="dxa" w:w="4037"/>
            <w:shd w:val="clear" w:color="auto" w:fill="0C2340"/>
            <w:tcMar>
              <w:top w:w="340" w:type="dxa"/>
              <w:left w:w="240" w:type="dxa"/>
              <w:bottom w:w="340" w:type="dxa"/>
              <w:right w:w="240" w:type="dxa"/>
            </w:tcMar>
            <w:vAlign w:val="top"/>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676"/>
            </w:tblGrid>
            <w:tr>
              <w:trPr>
                <w:cantSplit/>
              </w:trPr>
              <w:tc>
                <w:tcPr>
                  <w:tcW w:type="dxa" w:w="2676"/>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4"/>
                      <w:sz w:val="14"/>
                      <w:u w:val="none"/>
                    </w:rPr>
                    <w:t>[  AURIXA SYSTEMS  ]</w:t>
                  </w:r>
                </w:p>
              </w:tc>
            </w:tr>
          </w:tbl>
          <w:p/>
          <w:p>
            <w:pPr>
              <w:keepNext w:val="0"/>
              <w:keepLines/>
              <w:pageBreakBefore w:val="0"/>
              <w:widowControl w:val="1"/>
              <w:spacing w:before="0" w:after="0" w:line="280" w:lineRule="exact"/>
            </w:pPr>
            <w:r>
              <w:rPr>
                <w:sz w:val="2"/>
              </w:rPr>
            </w:r>
          </w:p>
          <w:p>
            <w:pPr>
              <w:keepNext w:val="0"/>
              <w:keepLines/>
              <w:pageBreakBefore w:val="0"/>
              <w:widowControl w:val="1"/>
              <w:spacing w:before="0" w:after="100"/>
            </w:pPr>
            <w:r>
              <w:rPr>
                <w:rFonts w:ascii="Calibri" w:hAnsi="Calibri" w:cs="Calibri" w:eastAsia="Calibri"/>
                <w:b/>
                <w:i w:val="0"/>
                <w:caps w:val="1"/>
                <w:color w:val="1D6FE0"/>
                <w:spacing w:val="40"/>
                <w:sz w:val="15"/>
                <w:u w:val="none"/>
              </w:rPr>
              <w:t>Aurixa Systems</w:t>
            </w:r>
          </w:p>
          <w:p>
            <w:pPr>
              <w:keepNext w:val="0"/>
              <w:keepLines/>
              <w:pageBreakBefore w:val="0"/>
              <w:widowControl w:val="1"/>
              <w:spacing w:before="0" w:after="0" w:line="336" w:lineRule="auto"/>
            </w:pPr>
            <w:r>
              <w:rPr>
                <w:rFonts w:ascii="Calibri" w:hAnsi="Calibri" w:cs="Calibri" w:eastAsia="Calibri"/>
                <w:b w:val="0"/>
                <w:i w:val="0"/>
                <w:color w:val="AFC0D6"/>
                <w:sz w:val="14"/>
                <w:u w:val="none"/>
              </w:rPr>
              <w:t>INTELLIGENT PROPERTY &amp; FINANCE INFRASTRUCTURE</w:t>
            </w:r>
          </w:p>
          <w:p>
            <w:pPr>
              <w:keepNext w:val="0"/>
              <w:keepLines/>
              <w:pageBreakBefore w:val="0"/>
              <w:widowControl w:val="1"/>
              <w:spacing w:before="0" w:after="0" w:line="240" w:lineRule="exact"/>
            </w:pPr>
            <w:r>
              <w:rPr>
                <w:sz w:val="2"/>
              </w:rPr>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FOR</w:t>
            </w:r>
          </w:p>
          <w:p>
            <w:pPr>
              <w:keepNext w:val="0"/>
              <w:keepLines/>
              <w:pageBreakBefore w:val="0"/>
              <w:widowControl w:val="1"/>
              <w:spacing w:before="0" w:after="0"/>
            </w:pPr>
            <w:r>
              <w:rPr>
                <w:rFonts w:ascii="Calibri" w:hAnsi="Calibri" w:cs="Calibri" w:eastAsia="Calibri"/>
                <w:b w:val="0"/>
                <w:i w:val="0"/>
                <w:color w:val="FFFFFF"/>
                <w:sz w:val="17"/>
                <w:u w:val="none"/>
              </w:rPr>
              <w:t>J. &amp; S.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BY</w:t>
            </w:r>
          </w:p>
          <w:p>
            <w:pPr>
              <w:keepNext w:val="0"/>
              <w:keepLines/>
              <w:pageBreakBefore w:val="0"/>
              <w:widowControl w:val="1"/>
              <w:spacing w:before="0" w:after="0"/>
            </w:pPr>
            <w:r>
              <w:rPr>
                <w:rFonts w:ascii="Calibri" w:hAnsi="Calibri" w:cs="Calibri" w:eastAsia="Calibri"/>
                <w:b w:val="0"/>
                <w:i w:val="0"/>
                <w:color w:val="FFFFFF"/>
                <w:sz w:val="17"/>
                <w:u w:val="none"/>
              </w:rPr>
              <w:t>A.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ISSUED</w:t>
            </w:r>
          </w:p>
          <w:p>
            <w:pPr>
              <w:keepNext w:val="0"/>
              <w:keepLines/>
              <w:pageBreakBefore w:val="0"/>
              <w:widowControl w:val="1"/>
              <w:spacing w:before="0" w:after="0"/>
            </w:pPr>
            <w:r>
              <w:rPr>
                <w:rFonts w:ascii="Calibri" w:hAnsi="Calibri" w:cs="Calibri" w:eastAsia="Calibri"/>
                <w:b w:val="0"/>
                <w:i w:val="0"/>
                <w:color w:val="FFFFFF"/>
                <w:sz w:val="17"/>
                <w:u w:val="none"/>
              </w:rPr>
              <w:t>31 July 2026</w:t>
            </w:r>
          </w:p>
        </w:tc>
        <w:tc>
          <w:tcPr>
            <w:tcW w:type="dxa" w:w="6055"/>
            <w:shd w:val="clear" w:color="auto" w:fill="FFFFFF"/>
            <w:tcMar>
              <w:top w:w="340" w:type="dxa"/>
              <w:left w:w="260" w:type="dxa"/>
              <w:bottom w:w="340" w:type="dxa"/>
              <w:right w:w="100" w:type="dxa"/>
            </w:tcMar>
            <w:vAlign w:val="center"/>
          </w:tcPr>
          <w:p>
            <w:pPr>
              <w:keepNext w:val="0"/>
              <w:keepLines/>
              <w:pageBreakBefore w:val="0"/>
              <w:widowControl w:val="1"/>
              <w:spacing w:before="0" w:after="120"/>
            </w:pPr>
            <w:r>
              <w:rPr>
                <w:rFonts w:ascii="Calibri" w:hAnsi="Calibri" w:cs="Calibri" w:eastAsia="Calibri"/>
                <w:b/>
                <w:i w:val="0"/>
                <w:caps w:val="1"/>
                <w:color w:val="1D6FE0"/>
                <w:spacing w:val="60"/>
                <w:sz w:val="16"/>
                <w:u w:val="none"/>
              </w:rPr>
              <w:t>Credit recommendation</w:t>
            </w:r>
          </w:p>
          <w:p>
            <w:pPr>
              <w:keepNext/>
              <w:keepLines/>
              <w:pageBreakBefore w:val="0"/>
              <w:widowControl w:val="1"/>
              <w:spacing w:before="0" w:after="160" w:line="240" w:lineRule="auto"/>
            </w:pPr>
            <w:r>
              <w:rPr>
                <w:rFonts w:ascii="Georgia" w:hAnsi="Georgia" w:cs="Georgia" w:eastAsia="Georgia"/>
                <w:b/>
                <w:i w:val="0"/>
                <w:color w:val="0C2340"/>
                <w:spacing w:val="2"/>
                <w:sz w:val="60"/>
                <w:u w:val="none"/>
              </w:rPr>
              <w:t>Lending Recommendation</w:t>
            </w:r>
          </w:p>
          <w:p>
            <w:pPr>
              <w:keepNext w:val="0"/>
              <w:keepLines/>
              <w:pageBreakBefore w:val="0"/>
              <w:widowControl w:val="1"/>
              <w:pBdr>
                <w:bottom w:val="single" w:sz="12" w:space="1" w:color="1D6FE0"/>
              </w:pBdr>
              <w:spacing w:before="0" w:after="160" w:line="20" w:lineRule="exact"/>
            </w:pPr>
            <w:r>
              <w:rPr>
                <w:sz w:val="2"/>
              </w:rPr>
            </w:r>
          </w:p>
          <w:p>
            <w:pPr>
              <w:keepNext w:val="0"/>
              <w:keepLines/>
              <w:pageBreakBefore w:val="0"/>
              <w:widowControl w:val="1"/>
              <w:spacing w:before="0" w:after="0" w:line="336" w:lineRule="auto"/>
            </w:pPr>
            <w:r>
              <w:rPr>
                <w:rFonts w:ascii="Calibri" w:hAnsi="Calibri" w:cs="Calibri" w:eastAsia="Calibri"/>
                <w:b w:val="0"/>
                <w:i w:val="0"/>
                <w:color w:val="4C5B73"/>
                <w:sz w:val="22"/>
                <w:u w:val="none"/>
              </w:rPr>
              <w:t>The lender, product and structure we recommend, why, what else we considered, and the disclosures that accompany it.</w:t>
            </w:r>
          </w:p>
          <w:p>
            <w:pPr>
              <w:keepNext w:val="0"/>
              <w:keepLines/>
              <w:pageBreakBefore w:val="0"/>
              <w:widowControl w:val="1"/>
              <w:spacing w:before="0" w:after="0" w:line="200" w:lineRule="exact"/>
            </w:pPr>
            <w:r>
              <w:rPr>
                <w:sz w:val="2"/>
              </w:rPr>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517"/>
              <w:gridCol w:w="2517"/>
            </w:tblGrid>
            <w:tr>
              <w:trPr>
                <w:cantSplit/>
              </w:trPr>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RECOMMENDATION</w:t>
                  </w:r>
                </w:p>
              </w:tc>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DISCLOSED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212" w:type="dxa"/>
              <w:left w:w="247" w:type="dxa"/>
              <w:bottom w:w="212" w:type="dxa"/>
              <w:right w:w="247" w:type="dxa"/>
            </w:tcMar>
          </w:tcPr>
          <w:p>
            <w:pPr>
              <w:keepNext/>
              <w:keepLines/>
              <w:pageBreakBefore w:val="0"/>
              <w:widowControl w:val="1"/>
              <w:spacing w:before="0" w:after="100"/>
            </w:pPr>
            <w:r>
              <w:rPr>
                <w:rFonts w:ascii="Calibri" w:hAnsi="Calibri" w:cs="Calibri" w:eastAsia="Calibri"/>
                <w:b/>
                <w:i w:val="0"/>
                <w:caps w:val="1"/>
                <w:color w:val="1D6FE0"/>
                <w:spacing w:val="36"/>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Georgia" w:hAnsi="Georgia" w:cs="Georgia" w:eastAsia="Georgia"/>
                <w:b/>
                <w:i w:val="0"/>
                <w:color w:val="0C2340"/>
                <w:sz w:val="22"/>
                <w:u w:val="none"/>
              </w:rPr>
              <w:t>Lender A — Investment IO Package, $648,000, interest only for five years, split 70/30 variable and fixed, with a 100% offset against the variable portion.</w:t>
            </w:r>
          </w:p>
          <w:p>
            <w:pPr>
              <w:keepNext w:val="0"/>
              <w:keepLines/>
              <w:pageBreakBefore w:val="0"/>
              <w:widowControl w:val="1"/>
              <w:spacing w:before="0" w:after="0" w:line="341" w:lineRule="auto"/>
            </w:pPr>
            <w:r>
              <w:rPr>
                <w:rFonts w:ascii="Calibri" w:hAnsi="Calibri" w:cs="Calibri" w:eastAsia="Calibri"/>
                <w:b w:val="0"/>
                <w:i w:val="0"/>
                <w:color w:val="10192A"/>
                <w:sz w:val="17"/>
                <w:u w:val="none"/>
              </w:rPr>
              <w:t>This structure meets your stated priority of minimising outgoings during the build phase while preserving the flexibility to make lump-sum reductions once the second property settles.</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Next steps</w:t>
            </w:r>
          </w:p>
          <w:p>
            <w:pPr>
              <w:keepNext w:val="0"/>
              <w:keepLines/>
              <w:pageBreakBefore w:val="0"/>
              <w:widowControl w:val="1"/>
              <w:tabs>
                <w:tab w:val="left" w:pos="320"/>
              </w:tabs>
              <w:spacing w:before="0" w:after="0" w:line="341"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Confirm you accept the $395 annual package fee.</w:t>
            </w:r>
          </w:p>
          <w:p>
            <w:pPr>
              <w:keepNext w:val="0"/>
              <w:keepLines/>
              <w:pageBreakBefore w:val="0"/>
              <w:widowControl w:val="1"/>
              <w:tabs>
                <w:tab w:val="left" w:pos="320"/>
              </w:tabs>
              <w:spacing w:before="80" w:after="0" w:line="341"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Confirm the 70/30 variable/fixed split.</w:t>
            </w:r>
          </w:p>
          <w:p>
            <w:pPr>
              <w:keepNext w:val="0"/>
              <w:keepLines/>
              <w:pageBreakBefore w:val="0"/>
              <w:widowControl w:val="1"/>
              <w:tabs>
                <w:tab w:val="left" w:pos="320"/>
              </w:tabs>
              <w:spacing w:before="80" w:after="0" w:line="341"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Provide the outstanding documents listed in section eight.</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01   </w:t>
      </w:r>
      <w:r>
        <w:rPr>
          <w:rFonts w:ascii="Georgia" w:hAnsi="Georgia" w:cs="Georgia" w:eastAsia="Georgia"/>
          <w:b w:val="0"/>
          <w:i w:val="0"/>
          <w:color w:val="0C2340"/>
          <w:spacing w:val="2"/>
          <w:sz w:val="34"/>
          <w:u w:val="none"/>
        </w:rPr>
        <w:t>Your objectives &amp; requirements</w:t>
      </w:r>
    </w:p>
    <w:p>
      <w:pPr>
        <w:keepNext/>
        <w:keepLines/>
        <w:pageBreakBefore w:val="0"/>
        <w:widowControl w:val="1"/>
        <w:spacing w:before="0" w:after="100"/>
      </w:pPr>
      <w:r>
        <w:rPr>
          <w:rFonts w:ascii="Calibri" w:hAnsi="Calibri" w:cs="Calibri" w:eastAsia="Calibri"/>
          <w:b/>
          <w:i w:val="0"/>
          <w:caps w:val="1"/>
          <w:color w:val="4C5B73"/>
          <w:spacing w:val="36"/>
          <w:sz w:val="15"/>
          <w:u w:val="none"/>
        </w:rPr>
        <w:t>As you described them to us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D6FE0"/>
                <w:spacing w:val="36"/>
                <w:sz w:val="15"/>
                <w:u w:val="none"/>
              </w:rPr>
              <w:t>Your objectives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284"/>
              <w:gridCol w:w="7234"/>
            </w:tblGrid>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Primary objective</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Acquire a second investment property within 12 months</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Repayment preference</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Minimise outgoings during the build phase</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Rate preference</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Some certainty; comfortable with partial variable</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Features required</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Offset account; ability to make lump-sum reductions</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Term</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years</w:t>
                  </w:r>
                </w:p>
              </w:tc>
            </w:tr>
            <w:tr>
              <w:trPr>
                <w:cantSplit/>
                <w:trHeight w:val="431" w:hRule="atLeast"/>
              </w:trPr>
              <w:tc>
                <w:tcPr>
                  <w:tcW w:type="dxa" w:w="2284"/>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Stated constraints</w:t>
                  </w:r>
                </w:p>
              </w:tc>
              <w:tc>
                <w:tcPr>
                  <w:tcW w:type="dxa" w:w="7234"/>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No cross-collateralisation; single lender exposure below $1.5m</w:t>
                  </w:r>
                </w:p>
              </w:tc>
            </w:tr>
          </w:tbl>
          <w:p/>
          <w:p>
            <w:pPr>
              <w:keepNext w:val="0"/>
              <w:keepLines/>
              <w:pageBreakBefore w:val="0"/>
              <w:widowControl w:val="1"/>
              <w:spacing w:before="120" w:after="0"/>
            </w:pPr>
            <w:r>
              <w:rPr>
                <w:rFonts w:ascii="Calibri" w:hAnsi="Calibri" w:cs="Calibri" w:eastAsia="Calibri"/>
                <w:b w:val="0"/>
                <w:i/>
                <w:color w:val="8493A8"/>
                <w:sz w:val="14"/>
                <w:u w:val="none"/>
              </w:rPr>
              <w:t>These are recorded as you described them. If any of them has changed, tell us before you act on this recommendation.</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02   </w:t>
      </w:r>
      <w:r>
        <w:rPr>
          <w:rFonts w:ascii="Georgia" w:hAnsi="Georgia" w:cs="Georgia" w:eastAsia="Georgia"/>
          <w:b w:val="0"/>
          <w:i w:val="0"/>
          <w:color w:val="0C2340"/>
          <w:spacing w:val="2"/>
          <w:sz w:val="34"/>
          <w:u w:val="none"/>
        </w:rPr>
        <w:t>Your financial position</w:t>
      </w:r>
    </w:p>
    <w:p>
      <w:pPr>
        <w:keepNext/>
        <w:keepLines/>
        <w:pageBreakBefore w:val="0"/>
        <w:widowControl w:val="1"/>
        <w:spacing w:before="0" w:after="100"/>
      </w:pPr>
      <w:r>
        <w:rPr>
          <w:rFonts w:ascii="Calibri" w:hAnsi="Calibri" w:cs="Calibri" w:eastAsia="Calibri"/>
          <w:b/>
          <w:i w:val="0"/>
          <w:caps w:val="1"/>
          <w:color w:val="4C5B73"/>
          <w:spacing w:val="36"/>
          <w:sz w:val="15"/>
          <w:u w:val="none"/>
        </w:rPr>
        <w:t>What we assessed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Financial position as assessed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inancial position as assessed"/>
        <w:tblDescription w:val="Columns: Item, Applicant 1, Applicant 2, Combined"/>
      </w:tblPr>
      <w:tblGrid>
        <w:gridCol w:w="3855"/>
        <w:gridCol w:w="2041"/>
        <w:gridCol w:w="2041"/>
        <w:gridCol w:w="2154"/>
      </w:tblGrid>
      <w:tr>
        <w:trPr>
          <w:cantSplit/>
          <w:trHeight w:val="420" w:hRule="atLeast"/>
          <w:tblHeader/>
        </w:trPr>
        <w:tc>
          <w:tcPr>
            <w:tcW w:type="dxa" w:w="3855"/>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04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Applicant 1</w:t>
            </w:r>
          </w:p>
        </w:tc>
        <w:tc>
          <w:tcPr>
            <w:tcW w:type="dxa" w:w="204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Applicant 2</w:t>
            </w:r>
          </w:p>
        </w:tc>
        <w:tc>
          <w:tcPr>
            <w:tcW w:type="dxa" w:w="215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Combined</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Gross income</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$160,000</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$98,000</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$258,000</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Assessed income after shading</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$156,400</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$98,000</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$254,400</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Existing commitments</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$7,779/mo</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Declared living expenses</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$5,840/mo</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Applied living expenses (HEM)</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$6,120/mo</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Assets</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$1,842,000</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Liabilities</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$853,400</w:t>
            </w:r>
          </w:p>
        </w:tc>
      </w:tr>
      <w:tr>
        <w:trPr>
          <w:cantSplit/>
          <w:trHeight w:val="397" w:hRule="atLeast"/>
        </w:trPr>
        <w:tc>
          <w:tcPr>
            <w:tcW w:type="dxa" w:w="385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Net position</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04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w:t>
            </w:r>
          </w:p>
        </w:tc>
        <w:tc>
          <w:tcPr>
            <w:tcW w:type="dxa" w:w="215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$988,600</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03   </w:t>
      </w:r>
      <w:r>
        <w:rPr>
          <w:rFonts w:ascii="Georgia" w:hAnsi="Georgia" w:cs="Georgia" w:eastAsia="Georgia"/>
          <w:b w:val="0"/>
          <w:i w:val="0"/>
          <w:color w:val="0C2340"/>
          <w:spacing w:val="2"/>
          <w:sz w:val="34"/>
          <w:u w:val="none"/>
        </w:rPr>
        <w:t>Why this recommendation</w:t>
      </w:r>
    </w:p>
    <w:p>
      <w:pPr>
        <w:keepNext/>
        <w:keepLines/>
        <w:pageBreakBefore w:val="0"/>
        <w:widowControl w:val="1"/>
        <w:spacing w:before="0" w:after="100"/>
      </w:pPr>
      <w:r>
        <w:rPr>
          <w:rFonts w:ascii="Calibri" w:hAnsi="Calibri" w:cs="Calibri" w:eastAsia="Calibri"/>
          <w:b/>
          <w:i w:val="0"/>
          <w:caps w:val="1"/>
          <w:color w:val="4C5B73"/>
          <w:spacing w:val="36"/>
          <w:sz w:val="15"/>
          <w:u w:val="none"/>
        </w:rPr>
        <w:t>Against your objectives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D6FE0"/>
                <w:spacing w:val="36"/>
                <w:sz w:val="15"/>
                <w:u w:val="none"/>
              </w:rPr>
              <w:t>Reasoning</w:t>
            </w:r>
          </w:p>
          <w:p>
            <w:pPr>
              <w:keepNext/>
              <w:keepLines/>
              <w:pageBreakBefore w:val="0"/>
              <w:widowControl w:val="1"/>
              <w:spacing w:before="0" w:after="120" w:line="293" w:lineRule="auto"/>
            </w:pPr>
            <w:r>
              <w:rPr>
                <w:rFonts w:ascii="Georgia" w:hAnsi="Georgia" w:cs="Georgia" w:eastAsia="Georgia"/>
                <w:b/>
                <w:i w:val="0"/>
                <w:color w:val="0C2340"/>
                <w:sz w:val="23"/>
                <w:u w:val="none"/>
              </w:rPr>
              <w:t>Lender A is the only option on the panel that meets all five of your stated requirements without compromise.</w:t>
            </w:r>
          </w:p>
          <w:p>
            <w:pPr>
              <w:keepNext w:val="0"/>
              <w:keepLines/>
              <w:pageBreakBefore w:val="0"/>
              <w:widowControl w:val="1"/>
              <w:spacing w:before="0" w:after="0" w:line="341" w:lineRule="auto"/>
            </w:pPr>
            <w:r>
              <w:rPr>
                <w:rFonts w:ascii="Calibri" w:hAnsi="Calibri" w:cs="Calibri" w:eastAsia="Calibri"/>
                <w:b w:val="0"/>
                <w:i w:val="0"/>
                <w:color w:val="10192A"/>
                <w:sz w:val="19"/>
                <w:u w:val="none"/>
              </w:rPr>
              <w:t>You asked for minimised outgoings during the build phase. Interest only for five years reduces the monthly commitment by approximately $1,140 against principal and interest, and Lender A permits interest only on an investment purpose without an interest-rate loading.</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You asked for some rate certainty. A 70/30 split fixes $194,400 for three years while leaving $453,600 variable and fully offset, so lump-sum reductions remain available once the second property settles.</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You asked not to cross-collateralise. Lender A will take the new security standalone. Two lenders on the panel would not, and one would only at a higher rate.</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The alternatives are set out in section four. Lender C is 0.05% cheaper on the headline rate and has no offset account, which on your typical $40,000 balance costs approximately $2,440 a year — more than the rate saves.</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04   </w:t>
      </w:r>
      <w:r>
        <w:rPr>
          <w:rFonts w:ascii="Georgia" w:hAnsi="Georgia" w:cs="Georgia" w:eastAsia="Georgia"/>
          <w:b w:val="0"/>
          <w:i w:val="0"/>
          <w:color w:val="0C2340"/>
          <w:spacing w:val="2"/>
          <w:sz w:val="34"/>
          <w:u w:val="none"/>
        </w:rPr>
        <w:t>Alternatives considered</w:t>
      </w:r>
    </w:p>
    <w:p>
      <w:pPr>
        <w:keepNext/>
        <w:keepLines/>
        <w:pageBreakBefore w:val="0"/>
        <w:widowControl w:val="1"/>
        <w:spacing w:before="0" w:after="100"/>
      </w:pPr>
      <w:r>
        <w:rPr>
          <w:rFonts w:ascii="Calibri" w:hAnsi="Calibri" w:cs="Calibri" w:eastAsia="Calibri"/>
          <w:b/>
          <w:i w:val="0"/>
          <w:caps w:val="1"/>
          <w:color w:val="4C5B73"/>
          <w:spacing w:val="36"/>
          <w:sz w:val="15"/>
          <w:u w:val="none"/>
        </w:rPr>
        <w:t>What else we assessed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Alternatives assessed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lternatives assessed"/>
        <w:tblDescription w:val="Compares: Lender A — recommended, Lender B, Lender C"/>
      </w:tblPr>
      <w:tblGrid>
        <w:gridCol w:w="2624"/>
        <w:gridCol w:w="2489"/>
        <w:gridCol w:w="2489"/>
        <w:gridCol w:w="2489"/>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D6FE0"/>
              <w:right w:val="single" w:sz="16" w:space="0" w:color="FFFFFF"/>
            </w:tcBorders>
            <w:shd w:val="clear" w:color="auto" w:fill="1D6FE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A — recommended</w:t>
            </w:r>
          </w:p>
        </w:tc>
        <w:tc>
          <w:tcPr>
            <w:tcW w:type="dxa" w:w="2489"/>
            <w:tcBorders>
              <w:top w:val="nil"/>
              <w:left w:val="nil"/>
              <w:bottom w:val="single" w:sz="8" w:space="0" w:color="1D6FE0"/>
              <w:right w:val="single" w:sz="16" w:space="0" w:color="FFFFFF"/>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B</w:t>
            </w:r>
          </w:p>
        </w:tc>
        <w:tc>
          <w:tcPr>
            <w:tcW w:type="dxa" w:w="2489"/>
            <w:tcBorders>
              <w:top w:val="nil"/>
              <w:left w:val="nil"/>
              <w:bottom w:val="single" w:sz="8" w:space="0" w:color="1D6FE0"/>
              <w:right w:val="nil"/>
            </w:tcBorders>
            <w:shd w:val="clear" w:color="auto" w:fill="0C2340"/>
            <w:tcMar>
              <w:top w:w="118" w:type="dxa"/>
              <w:left w:w="165" w:type="dxa"/>
              <w:bottom w:w="118" w:type="dxa"/>
              <w:right w:w="165"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Lender C</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Rate</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6.14%</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6.22%</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6.09%</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Interest only permitted</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no loading</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+0.15%</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no loading</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Offset account</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Standalone security</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 — requires cross-collateral</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Split permitted</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6</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Up to 4</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fee</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$395</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Meets your requirements</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All five</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Four of five</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Two of five</w:t>
            </w:r>
          </w:p>
        </w:tc>
      </w:tr>
      <w:tr>
        <w:trPr>
          <w:cantSplit/>
        </w:trPr>
        <w:tc>
          <w:tcPr>
            <w:tcW w:type="dxa" w:w="2624"/>
            <w:tcBorders>
              <w:top w:val="nil"/>
              <w:left w:val="nil"/>
              <w:bottom w:val="single" w:sz="4" w:space="0" w:color="DCE3ED"/>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Why not recommended</w:t>
            </w:r>
          </w:p>
        </w:tc>
        <w:tc>
          <w:tcPr>
            <w:tcW w:type="dxa" w:w="2489"/>
            <w:tcBorders>
              <w:top w:val="nil"/>
              <w:left w:val="nil"/>
              <w:bottom w:val="single" w:sz="4" w:space="0" w:color="DCE3ED"/>
              <w:right w:val="nil"/>
            </w:tcBorders>
            <w:shd w:val="clear" w:color="auto" w:fill="F2F7FE"/>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IO loading of 0.15%</w:t>
            </w:r>
          </w:p>
        </w:tc>
        <w:tc>
          <w:tcPr>
            <w:tcW w:type="dxa" w:w="2489"/>
            <w:tcBorders>
              <w:top w:val="nil"/>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 offset; requires cross-collateralisation</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05   </w:t>
      </w:r>
      <w:r>
        <w:rPr>
          <w:rFonts w:ascii="Georgia" w:hAnsi="Georgia" w:cs="Georgia" w:eastAsia="Georgia"/>
          <w:b w:val="0"/>
          <w:i w:val="0"/>
          <w:color w:val="0C2340"/>
          <w:spacing w:val="2"/>
          <w:sz w:val="34"/>
          <w:u w:val="none"/>
        </w:rPr>
        <w:t>Costs &amp; fees</w:t>
      </w:r>
    </w:p>
    <w:p>
      <w:pPr>
        <w:keepNext/>
        <w:keepLines/>
        <w:pageBreakBefore w:val="0"/>
        <w:widowControl w:val="1"/>
        <w:spacing w:before="0" w:after="100"/>
      </w:pPr>
      <w:r>
        <w:rPr>
          <w:rFonts w:ascii="Calibri" w:hAnsi="Calibri" w:cs="Calibri" w:eastAsia="Calibri"/>
          <w:b/>
          <w:i w:val="0"/>
          <w:caps w:val="1"/>
          <w:color w:val="4C5B73"/>
          <w:spacing w:val="36"/>
          <w:sz w:val="15"/>
          <w:u w:val="none"/>
        </w:rPr>
        <w:t>Everything payable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Costs and fees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sts and fees"/>
        <w:tblDescription w:val="Columns: Fee, Amount, When, Payable to"/>
      </w:tblPr>
      <w:tblGrid>
        <w:gridCol w:w="3205"/>
        <w:gridCol w:w="1543"/>
        <w:gridCol w:w="3324"/>
        <w:gridCol w:w="2018"/>
      </w:tblGrid>
      <w:tr>
        <w:trPr>
          <w:cantSplit/>
          <w:trHeight w:val="420" w:hRule="atLeast"/>
          <w:tblHeader/>
        </w:trPr>
        <w:tc>
          <w:tcPr>
            <w:tcW w:type="dxa" w:w="3205"/>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Fee</w:t>
            </w:r>
          </w:p>
        </w:tc>
        <w:tc>
          <w:tcPr>
            <w:tcW w:type="dxa" w:w="1543"/>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332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When</w:t>
            </w:r>
          </w:p>
        </w:tc>
        <w:tc>
          <w:tcPr>
            <w:tcW w:type="dxa" w:w="201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Payable to</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Application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under the package</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Valuation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under the package</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Settlement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$350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settlement</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 package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$395</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Annually from settlement</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 lock fee (optional)</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$750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application if elected</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Discharge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$350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If refinanced or repaid</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r>
      <w:tr>
        <w:trPr>
          <w:cantSplit/>
          <w:trHeight w:val="397" w:hRule="atLeast"/>
        </w:trPr>
        <w:tc>
          <w:tcPr>
            <w:tcW w:type="dxa" w:w="320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Broker fee</w:t>
            </w:r>
          </w:p>
        </w:tc>
        <w:tc>
          <w:tcPr>
            <w:tcW w:type="dxa" w:w="154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c>
          <w:tcPr>
            <w:tcW w:type="dxa" w:w="332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3205"/>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Payable at settlement</w:t>
            </w:r>
          </w:p>
        </w:tc>
        <w:tc>
          <w:tcPr>
            <w:tcW w:type="dxa" w:w="1543"/>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$350</w:t>
            </w:r>
          </w:p>
        </w:tc>
        <w:tc>
          <w:tcPr>
            <w:tcW w:type="dxa" w:w="3324"/>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p>
        </w:tc>
        <w:tc>
          <w:tcPr>
            <w:tcW w:type="dxa" w:w="201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Government charges (mortgage registration and transfer duty) are payable separately and are not included above.</w:t>
      </w:r>
    </w:p>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06   </w:t>
      </w:r>
      <w:r>
        <w:rPr>
          <w:rFonts w:ascii="Georgia" w:hAnsi="Georgia" w:cs="Georgia" w:eastAsia="Georgia"/>
          <w:b w:val="0"/>
          <w:i w:val="0"/>
          <w:color w:val="0C2340"/>
          <w:spacing w:val="2"/>
          <w:sz w:val="34"/>
          <w:u w:val="none"/>
        </w:rPr>
        <w:t>Disclosures</w:t>
      </w:r>
    </w:p>
    <w:p>
      <w:pPr>
        <w:keepNext/>
        <w:keepLines/>
        <w:pageBreakBefore w:val="0"/>
        <w:widowControl w:val="1"/>
        <w:spacing w:before="0" w:after="100"/>
      </w:pPr>
      <w:r>
        <w:rPr>
          <w:rFonts w:ascii="Calibri" w:hAnsi="Calibri" w:cs="Calibri" w:eastAsia="Calibri"/>
          <w:b/>
          <w:i w:val="0"/>
          <w:caps w:val="1"/>
          <w:color w:val="4C5B73"/>
          <w:spacing w:val="36"/>
          <w:sz w:val="15"/>
          <w:u w:val="none"/>
        </w:rPr>
        <w:t>What you must be told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4C5B73"/>
                <w:spacing w:val="36"/>
                <w:sz w:val="15"/>
                <w:u w:val="none"/>
              </w:rPr>
              <w:t>Disclosures</w:t>
            </w:r>
          </w:p>
          <w:p>
            <w:pPr>
              <w:keepNext w:val="0"/>
              <w:keepLines/>
              <w:pageBreakBefore w:val="0"/>
              <w:widowControl w:val="1"/>
              <w:spacing w:before="0" w:after="0" w:line="341" w:lineRule="auto"/>
            </w:pPr>
            <w:r>
              <w:rPr>
                <w:rFonts w:ascii="Calibri" w:hAnsi="Calibri" w:cs="Calibri" w:eastAsia="Calibri"/>
                <w:b w:val="0"/>
                <w:i w:val="0"/>
                <w:color w:val="10192A"/>
                <w:sz w:val="17"/>
                <w:u w:val="none"/>
              </w:rPr>
              <w:t>We are required to disclose the following, and you should read it before acting on this recommendation.</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We will receive an upfront commission from the lender of approximately 0.65% of the loan amount, and a trail commission of approximately 0.18% per annum on the outstanding balance.</w:t>
            </w:r>
          </w:p>
          <w:p>
            <w:pPr>
              <w:keepNext w:val="0"/>
              <w:keepLines/>
              <w:pageBreakBefore w:val="0"/>
              <w:widowControl w:val="1"/>
              <w:spacing w:before="8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Commission rates differ between lenders on our panel. The recommended lender is not the highest-paying lender on the panel.</w:t>
            </w:r>
          </w:p>
          <w:p>
            <w:pPr>
              <w:keepNext w:val="0"/>
              <w:keepLines/>
              <w:pageBreakBefore w:val="0"/>
              <w:widowControl w:val="1"/>
              <w:spacing w:before="8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We access a panel of 14 lenders. We are not able to recommend products outside that panel and other lenders may offer more suitable products.</w:t>
            </w:r>
          </w:p>
          <w:p>
            <w:pPr>
              <w:keepNext w:val="0"/>
              <w:keepLines/>
              <w:pageBreakBefore w:val="0"/>
              <w:widowControl w:val="1"/>
              <w:spacing w:before="8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We hold Australian Credit Licence {{org.acl}} and are authorised through {{org.aggregator}}.</w:t>
            </w:r>
          </w:p>
          <w:p>
            <w:pPr>
              <w:keepNext w:val="0"/>
              <w:keepLines/>
              <w:pageBreakBefore w:val="0"/>
              <w:widowControl w:val="1"/>
              <w:spacing w:before="80" w:after="0" w:line="341"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We have no ownership relationship with any lender on our panel.</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07   </w:t>
      </w:r>
      <w:r>
        <w:rPr>
          <w:rFonts w:ascii="Georgia" w:hAnsi="Georgia" w:cs="Georgia" w:eastAsia="Georgia"/>
          <w:b w:val="0"/>
          <w:i w:val="0"/>
          <w:color w:val="0C2340"/>
          <w:spacing w:val="2"/>
          <w:sz w:val="34"/>
          <w:u w:val="none"/>
        </w:rPr>
        <w:t>Risks &amp; things to consider</w:t>
      </w:r>
    </w:p>
    <w:p>
      <w:pPr>
        <w:keepNext/>
        <w:keepLines/>
        <w:pageBreakBefore w:val="0"/>
        <w:widowControl w:val="1"/>
        <w:spacing w:before="0" w:after="100"/>
      </w:pPr>
      <w:r>
        <w:rPr>
          <w:rFonts w:ascii="Calibri" w:hAnsi="Calibri" w:cs="Calibri" w:eastAsia="Calibri"/>
          <w:b/>
          <w:i w:val="0"/>
          <w:caps w:val="1"/>
          <w:color w:val="4C5B73"/>
          <w:spacing w:val="36"/>
          <w:sz w:val="15"/>
          <w:u w:val="none"/>
        </w:rPr>
        <w:t>Before you accept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6"/>
          <w:sz w:val="15"/>
          <w:u w:val="none"/>
        </w:rPr>
        <w:t>Risks &amp; things to consider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mp; things to consider"/>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interest-only period ends after five years</w:t>
            </w:r>
          </w:p>
        </w:tc>
        <w:tc>
          <w:tcPr>
            <w:tcW w:type="dxa" w:w="1413"/>
            <w:tcBorders>
              <w:top w:val="nil"/>
              <w:left w:val="nil"/>
              <w:bottom w:val="single" w:sz="4" w:space="0" w:color="DCE3ED"/>
              <w:right w:val="nil"/>
            </w:tcBorders>
            <w:shd w:val="clear" w:color="auto" w:fill="FBECEA"/>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Repayments will increase by approximately $1,340 a month when the loan reverts to principal and interest over the remaining 25-year term. Plan for this now, not in year five.</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Break costs apply to the fixed portion</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Repaying or refinancing the fixed $194,400 before the three-year term ends may incur a break cost that cannot be quantified in advance.</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Rates may rise</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variable portion is unhedged. At +2% your repayment increases by approximately $756 a month. We have stress-tested your position at +2% and it remains serviceable.</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Approval is not guaranteed</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This is a recommendation, not an approval. The lender will form its own view on a full application and may decline or vary the terms.</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08   </w:t>
      </w:r>
      <w:r>
        <w:rPr>
          <w:rFonts w:ascii="Georgia" w:hAnsi="Georgia" w:cs="Georgia" w:eastAsia="Georgia"/>
          <w:b w:val="0"/>
          <w:i w:val="0"/>
          <w:color w:val="0C2340"/>
          <w:spacing w:val="2"/>
          <w:sz w:val="34"/>
          <w:u w:val="none"/>
        </w:rPr>
        <w:t>Next steps</w:t>
      </w:r>
    </w:p>
    <w:p>
      <w:pPr>
        <w:keepNext/>
        <w:keepLines/>
        <w:pageBreakBefore w:val="0"/>
        <w:widowControl w:val="1"/>
        <w:spacing w:before="0" w:after="100"/>
      </w:pPr>
      <w:r>
        <w:rPr>
          <w:rFonts w:ascii="Calibri" w:hAnsi="Calibri" w:cs="Calibri" w:eastAsia="Calibri"/>
          <w:b/>
          <w:i w:val="0"/>
          <w:caps w:val="1"/>
          <w:color w:val="4C5B73"/>
          <w:spacing w:val="36"/>
          <w:sz w:val="15"/>
          <w:u w:val="none"/>
        </w:rPr>
        <w:t>From acceptance to settlement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Accept</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Sign the acknowledgement below and return it.</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Documents</w:t>
            </w:r>
          </w:p>
        </w:tc>
        <w:tc>
          <w:tcPr>
            <w:tcW w:type="dxa" w:w="7143"/>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Provide payslips, tax returns and the contract of sale.</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Submit</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We lodge the application; assessment typically takes 5–8 days.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Approve</w:t>
            </w:r>
          </w:p>
        </w:tc>
        <w:tc>
          <w:tcPr>
            <w:tcW w:type="dxa" w:w="7143"/>
            <w:tcBorders>
              <w:top w:val="single" w:sz="4" w:space="0" w:color="FFFFFF"/>
              <w:left w:val="nil"/>
              <w:bottom w:val="single" w:sz="4" w:space="0" w:color="FFFFFF"/>
              <w:right w:val="nil"/>
            </w:tcBorders>
            <w:shd w:val="clear" w:color="auto" w:fill="F7F9FC"/>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Formal approval issued; you review and sign the loan documents.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Settle</w:t>
            </w:r>
          </w:p>
        </w:tc>
        <w:tc>
          <w:tcPr>
            <w:tcW w:type="dxa" w:w="7143"/>
            <w:tcBorders>
              <w:top w:val="single" w:sz="4" w:space="0" w:color="FFFFFF"/>
              <w:left w:val="nil"/>
              <w:bottom w:val="single" w:sz="4" w:space="0" w:color="FFFFFF"/>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Settlement booked with your conveyancer.</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09   </w:t>
      </w:r>
      <w:r>
        <w:rPr>
          <w:rFonts w:ascii="Georgia" w:hAnsi="Georgia" w:cs="Georgia" w:eastAsia="Georgia"/>
          <w:b w:val="0"/>
          <w:i w:val="0"/>
          <w:color w:val="0C2340"/>
          <w:spacing w:val="2"/>
          <w:sz w:val="34"/>
          <w:u w:val="none"/>
        </w:rPr>
        <w:t>Acknowledgement</w:t>
      </w:r>
    </w:p>
    <w:p>
      <w:pPr>
        <w:keepNext/>
        <w:keepLines/>
        <w:pageBreakBefore w:val="0"/>
        <w:widowControl w:val="1"/>
        <w:spacing w:before="0" w:after="100"/>
      </w:pPr>
      <w:r>
        <w:rPr>
          <w:rFonts w:ascii="Calibri" w:hAnsi="Calibri" w:cs="Calibri" w:eastAsia="Calibri"/>
          <w:b/>
          <w:i w:val="0"/>
          <w:caps w:val="1"/>
          <w:color w:val="4C5B73"/>
          <w:spacing w:val="36"/>
          <w:sz w:val="15"/>
          <w:u w:val="none"/>
        </w:rPr>
        <w:t>Your confirmation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554AE"/>
                <w:spacing w:val="36"/>
                <w:sz w:val="15"/>
                <w:u w:val="none"/>
              </w:rPr>
              <w:t>What you are acknowledging</w:t>
            </w:r>
          </w:p>
          <w:p>
            <w:pPr>
              <w:keepNext w:val="0"/>
              <w:keepLines/>
              <w:pageBreakBefore w:val="0"/>
              <w:widowControl w:val="1"/>
              <w:spacing w:before="0" w:after="0" w:line="341" w:lineRule="auto"/>
            </w:pPr>
            <w:r>
              <w:rPr>
                <w:rFonts w:ascii="Calibri" w:hAnsi="Calibri" w:cs="Calibri" w:eastAsia="Calibri"/>
                <w:b w:val="0"/>
                <w:i w:val="0"/>
                <w:color w:val="10192A"/>
                <w:sz w:val="17"/>
                <w:u w:val="none"/>
              </w:rPr>
              <w:t>By signing below you confirm that you have read this recommendation, that the objectives and requirements recorded in section one are accurate, that you have read the disclosures in section six, and that you understand this is a recommendation and not an approval.</w:t>
            </w:r>
          </w:p>
        </w:tc>
      </w:tr>
    </w:tbl>
    <w:p>
      <w:pPr>
        <w:keepNext w:val="0"/>
        <w:keepLines/>
        <w:pageBreakBefore w:val="0"/>
        <w:widowControl w:val="1"/>
        <w:spacing w:before="0" w:after="0" w:line="16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Applicant 1</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Applicant 2</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C2340"/>
          <w:spacing w:val="2"/>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3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Disclaimer</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Privacy</w:t>
      </w:r>
    </w:p>
    <w:p>
      <w:pPr>
        <w:keepNext w:val="0"/>
        <w:keepLines/>
        <w:pageBreakBefore w:val="0"/>
        <w:widowControl w:val="1"/>
        <w:spacing w:before="0" w:after="0" w:line="341"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Terms of use</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6"/>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6"/>
              <w:sz w:val="14"/>
              <w:u w:val="none"/>
            </w:rPr>
            <w:t>Lending Recommendation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41"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Lending Recommendation Report</dc:title>
  <dc:subject>A formal recommendation of a lender, product and structure, with the reasoning, alternatives considered and the disclosures that must accompany it.</dc:subject>
  <dc:creator>Aurixa Systems</dc:creator>
  <cp:keywords>Lending recommendation, Credit recommendation, Preliminary assessment,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