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40"/>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64"/>
                <w:sz w:val="16"/>
                <w:u w:val="none"/>
              </w:rPr>
              <w:t>Quarterly edition — Q2 FY2026</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6"/>
                <w:sz w:val="60"/>
                <w:u w:val="none"/>
              </w:rPr>
              <w:t>Market &amp; Area Research</w:t>
            </w:r>
          </w:p>
          <w:p>
            <w:pPr>
              <w:keepNext w:val="0"/>
              <w:keepLines/>
              <w:pageBreakBefore w:val="0"/>
              <w:widowControl w:val="1"/>
              <w:spacing w:before="0" w:after="0" w:line="322" w:lineRule="auto"/>
            </w:pPr>
            <w:r>
              <w:rPr>
                <w:rFonts w:ascii="Calibri" w:hAnsi="Calibri" w:cs="Calibri" w:eastAsia="Calibri"/>
                <w:b w:val="0"/>
                <w:i w:val="0"/>
                <w:color w:val="AFC0D6"/>
                <w:sz w:val="22"/>
                <w:u w:val="none"/>
              </w:rPr>
              <w:t>Conditions across four regions, the indicators that moved, and what we expect over the next two quarters.</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4 REGIONS</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QUARTERLY</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AS AT 30/06/26</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Contents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Contents</w:t>
            </w:r>
          </w:p>
        </w:tc>
      </w:tr>
    </w:tbl>
    <w:p>
      <w:pPr>
        <w:keepNext w:val="0"/>
        <w:keepLines/>
        <w:pageBreakBefore w:val="0"/>
        <w:widowControl w:val="1"/>
        <w:spacing w:before="0" w:after="0" w:line="180" w:lineRule="exact"/>
      </w:pPr>
      <w:r>
        <w:rPr>
          <w:sz w:val="2"/>
        </w:rPr>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In this edition</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National / state overview</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Key indicators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1    </w:t>
      </w:r>
      <w:r>
        <w:rPr>
          <w:rFonts w:ascii="Calibri" w:hAnsi="Calibri" w:cs="Calibri" w:eastAsia="Calibri"/>
          <w:b w:val="0"/>
          <w:i w:val="0"/>
          <w:color w:val="10192A"/>
          <w:sz w:val="19"/>
          <w:u w:val="none"/>
        </w:rPr>
        <w:t>Region profiles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2    </w:t>
      </w:r>
      <w:r>
        <w:rPr>
          <w:rFonts w:ascii="Calibri" w:hAnsi="Calibri" w:cs="Calibri" w:eastAsia="Calibri"/>
          <w:b w:val="0"/>
          <w:i w:val="0"/>
          <w:color w:val="10192A"/>
          <w:sz w:val="19"/>
          <w:u w:val="none"/>
        </w:rPr>
        <w:t>Comparative table</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3    </w:t>
      </w:r>
      <w:r>
        <w:rPr>
          <w:rFonts w:ascii="Calibri" w:hAnsi="Calibri" w:cs="Calibri" w:eastAsia="Calibri"/>
          <w:b w:val="0"/>
          <w:i w:val="0"/>
          <w:color w:val="10192A"/>
          <w:sz w:val="19"/>
          <w:u w:val="none"/>
        </w:rPr>
        <w:t>Outlook</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A    </w:t>
      </w:r>
      <w:r>
        <w:rPr>
          <w:rFonts w:ascii="Calibri" w:hAnsi="Calibri" w:cs="Calibri" w:eastAsia="Calibri"/>
          <w:b w:val="0"/>
          <w:i w:val="0"/>
          <w:color w:val="10192A"/>
          <w:sz w:val="19"/>
          <w:u w:val="none"/>
        </w:rPr>
        <w:t>Methodology</w:t>
      </w:r>
    </w:p>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In this edition</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Five findings</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B4CDF3"/>
              <w:left w:val="single" w:sz="18" w:space="0" w:color="1554AE"/>
              <w:bottom w:val="single" w:sz="4" w:space="0" w:color="B4CDF3"/>
              <w:right w:val="single" w:sz="4" w:space="0" w:color="B4CDF3"/>
            </w:tcBorders>
            <w:shd w:val="clear" w:color="auto" w:fill="EAF1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554AE"/>
                <w:spacing w:val="32"/>
                <w:sz w:val="15"/>
                <w:u w:val="none"/>
              </w:rPr>
              <w:t>In this edition</w:t>
            </w:r>
          </w:p>
          <w:p>
            <w:pPr>
              <w:keepNext w:val="0"/>
              <w:keepLines/>
              <w:pageBreakBefore w:val="0"/>
              <w:widowControl w:val="1"/>
              <w:spacing w:before="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Listing volumes fell in all four regions for a third consecutive quarter.</w:t>
            </w:r>
          </w:p>
          <w:p>
            <w:pPr>
              <w:keepNext w:val="0"/>
              <w:keepLines/>
              <w:pageBreakBefore w:val="0"/>
              <w:widowControl w:val="1"/>
              <w:spacing w:before="8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Rental growth slowed to 2.1% from 4.8% a year earlier.</w:t>
            </w:r>
          </w:p>
          <w:p>
            <w:pPr>
              <w:keepNext w:val="0"/>
              <w:keepLines/>
              <w:pageBreakBefore w:val="0"/>
              <w:widowControl w:val="1"/>
              <w:spacing w:before="8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The inner-ring / outer-ring price gap narrowed for the first time since 2021.</w:t>
            </w:r>
          </w:p>
          <w:p>
            <w:pPr>
              <w:keepNext w:val="0"/>
              <w:keepLines/>
              <w:pageBreakBefore w:val="0"/>
              <w:widowControl w:val="1"/>
              <w:spacing w:before="8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Vacancy remains below 1.5% in three of the four regions.</w:t>
            </w:r>
          </w:p>
          <w:p>
            <w:pPr>
              <w:keepNext w:val="0"/>
              <w:keepLines/>
              <w:pageBreakBefore w:val="0"/>
              <w:widowControl w:val="1"/>
              <w:spacing w:before="8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Days on market fell in every region despite flat auction clearance.</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National / state overview</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The macro position</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Overview</w:t>
            </w:r>
          </w:p>
          <w:p>
            <w:pPr>
              <w:keepNext/>
              <w:keepLines/>
              <w:pageBreakBefore w:val="0"/>
              <w:widowControl w:val="1"/>
              <w:spacing w:before="0" w:after="120" w:line="293" w:lineRule="auto"/>
            </w:pPr>
            <w:r>
              <w:rPr>
                <w:rFonts w:ascii="Calibri" w:hAnsi="Calibri" w:cs="Calibri" w:eastAsia="Calibri"/>
                <w:b/>
                <w:i w:val="0"/>
                <w:color w:val="0C2340"/>
                <w:sz w:val="23"/>
                <w:u w:val="none"/>
              </w:rPr>
              <w:t>Supply, not demand, is now the binding constraint in every region we cover.</w:t>
            </w:r>
          </w:p>
          <w:p>
            <w:pPr>
              <w:keepNext w:val="0"/>
              <w:keepLines/>
              <w:pageBreakBefore w:val="0"/>
              <w:widowControl w:val="1"/>
              <w:spacing w:before="0" w:after="0" w:line="326" w:lineRule="auto"/>
            </w:pPr>
            <w:r>
              <w:rPr>
                <w:rFonts w:ascii="Calibri" w:hAnsi="Calibri" w:cs="Calibri" w:eastAsia="Calibri"/>
                <w:b w:val="0"/>
                <w:i w:val="0"/>
                <w:color w:val="10192A"/>
                <w:sz w:val="19"/>
                <w:u w:val="none"/>
              </w:rPr>
              <w:t>Listing volumes across the four regions fell 14% year on year, the third consecutive quarterly decline. Days on market fell in every region despite auction clearance rates being broadly flat, which is the signature of a market where buyers are competing over less stock rather than bidding more aggressively for the same stock.</w:t>
            </w:r>
          </w:p>
          <w:p>
            <w:pPr>
              <w:keepNext w:val="0"/>
              <w:keepLines/>
              <w:pageBreakBefore w:val="0"/>
              <w:widowControl w:val="1"/>
              <w:spacing w:before="100" w:after="0" w:line="326" w:lineRule="auto"/>
            </w:pPr>
            <w:r>
              <w:rPr>
                <w:rFonts w:ascii="Calibri" w:hAnsi="Calibri" w:cs="Calibri" w:eastAsia="Calibri"/>
                <w:b w:val="0"/>
                <w:i w:val="0"/>
                <w:color w:val="10192A"/>
                <w:sz w:val="19"/>
                <w:u w:val="none"/>
              </w:rPr>
              <w:t>Rental growth decelerated sharply — 2.1% for the quarter against 4.8% in the corresponding quarter last year — while vacancy stayed below 1.5% in three of four regions. That combination suggests rents have reached an affordability ceiling rather than that supply has improved.</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Key indicators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Across all four regions</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MEDIAN GROWTH</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RENTAL GROWTH</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VACANCY</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LISTINGS</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+3.2%</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12 months, weighted</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+2.1%</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Down from 4.8%</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1.4%</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Weighted average</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−14%</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Year on year</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1   Region profiles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One block per region</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olor w:val="0C2340"/>
          <w:sz w:val="21"/>
          <w:u w:val="none"/>
        </w:rPr>
        <w:t>Lower North Shore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Lower North Shore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276"/>
              <w:gridCol w:w="1914"/>
              <w:gridCol w:w="1276"/>
              <w:gridCol w:w="1914"/>
              <w:gridCol w:w="1276"/>
              <w:gridCol w:w="1914"/>
            </w:tblGrid>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 house</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$2,180,000</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12-month growth</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+4.1%</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rent</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$1,090/wk</w:t>
                  </w:r>
                </w:p>
              </w:tc>
            </w:tr>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Gross yield</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2.6%</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Vacancy</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1.1%</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Days on market</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24</w:t>
                  </w:r>
                </w:p>
              </w:tc>
            </w:tr>
          </w:tbl>
          <w:p/>
        </w:tc>
      </w:tr>
    </w:tbl>
    <w:p>
      <w:pPr>
        <w:keepNext w:val="0"/>
        <w:keepLines/>
        <w:pageBreakBefore w:val="0"/>
        <w:widowControl w:val="1"/>
        <w:spacing w:before="0" w:after="0" w:line="72"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10192A"/>
          <w:sz w:val="17"/>
          <w:u w:val="none"/>
        </w:rPr>
        <w:t>Tightest market of the four. Listing volumes fell 19% and days on market fell to 24. Yield compression continued; this region is now a growth-only proposition for all but the highest-income buyers.</w:t>
      </w:r>
    </w:p>
    <w:p>
      <w:pPr>
        <w:keepNext/>
        <w:keepLines/>
        <w:pageBreakBefore w:val="0"/>
        <w:widowControl w:val="1"/>
        <w:spacing w:before="220" w:after="80"/>
      </w:pPr>
      <w:r>
        <w:rPr>
          <w:rFonts w:ascii="Calibri" w:hAnsi="Calibri" w:cs="Calibri" w:eastAsia="Calibri"/>
          <w:b/>
          <w:i w:val="0"/>
          <w:color w:val="0C2340"/>
          <w:sz w:val="21"/>
          <w:u w:val="none"/>
        </w:rPr>
        <w:t>Inner West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Inner West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276"/>
              <w:gridCol w:w="1914"/>
              <w:gridCol w:w="1276"/>
              <w:gridCol w:w="1914"/>
              <w:gridCol w:w="1276"/>
              <w:gridCol w:w="1914"/>
            </w:tblGrid>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 house</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$1,742,000</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12-month growth</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+3.4%</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rent</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$980/wk</w:t>
                  </w:r>
                </w:p>
              </w:tc>
            </w:tr>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Gross yield</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2.9%</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Vacancy</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1.3%</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Days on market</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27</w:t>
                  </w:r>
                </w:p>
              </w:tc>
            </w:tr>
          </w:tbl>
          <w:p/>
        </w:tc>
      </w:tr>
    </w:tbl>
    <w:p>
      <w:pPr>
        <w:keepNext w:val="0"/>
        <w:keepLines/>
        <w:pageBreakBefore w:val="0"/>
        <w:widowControl w:val="1"/>
        <w:spacing w:before="0" w:after="0" w:line="72"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10192A"/>
          <w:sz w:val="17"/>
          <w:u w:val="none"/>
        </w:rPr>
        <w:t>The narrowing of the inner-ring / outer-ring gap is most visible here. Growth moderated while outer regions accelerated, which we read as an affordability constraint rather than a loss of appeal.</w:t>
      </w:r>
    </w:p>
    <w:p>
      <w:pPr>
        <w:keepNext w:val="0"/>
        <w:keepLines/>
        <w:pageBreakBefore w:val="0"/>
        <w:widowControl w:val="1"/>
        <w:spacing w:before="0" w:after="0"/>
      </w:pPr>
      <w:r>
        <w:br w:type="page"/>
      </w:r>
    </w:p>
    <w:p>
      <w:pPr>
        <w:keepNext/>
        <w:keepLines/>
        <w:pageBreakBefore w:val="0"/>
        <w:widowControl w:val="1"/>
        <w:spacing w:before="220" w:after="80"/>
      </w:pPr>
      <w:r>
        <w:rPr>
          <w:rFonts w:ascii="Calibri" w:hAnsi="Calibri" w:cs="Calibri" w:eastAsia="Calibri"/>
          <w:b/>
          <w:i w:val="0"/>
          <w:color w:val="0C2340"/>
          <w:sz w:val="21"/>
          <w:u w:val="none"/>
        </w:rPr>
        <w:t>Northern Beaches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Northern Beaches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276"/>
              <w:gridCol w:w="1914"/>
              <w:gridCol w:w="1276"/>
              <w:gridCol w:w="1914"/>
              <w:gridCol w:w="1276"/>
              <w:gridCol w:w="1914"/>
            </w:tblGrid>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 house</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$2,410,000</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12-month growth</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+2.2%</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rent</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$1,150/wk</w:t>
                  </w:r>
                </w:p>
              </w:tc>
            </w:tr>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Gross yield</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2.5%</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Vacancy</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1.6%</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Days on market</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34</w:t>
                  </w:r>
                </w:p>
              </w:tc>
            </w:tr>
          </w:tbl>
          <w:p/>
        </w:tc>
      </w:tr>
    </w:tbl>
    <w:p>
      <w:pPr>
        <w:keepNext w:val="0"/>
        <w:keepLines/>
        <w:pageBreakBefore w:val="0"/>
        <w:widowControl w:val="1"/>
        <w:spacing w:before="0" w:after="0" w:line="72"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10192A"/>
          <w:sz w:val="17"/>
          <w:u w:val="none"/>
        </w:rPr>
        <w:t>The weakest of the four on both growth and days on market, and the only region where vacancy rose. Transport constraints continue to cap demand from buyers who commute daily.</w:t>
      </w:r>
    </w:p>
    <w:p>
      <w:pPr>
        <w:keepNext/>
        <w:keepLines/>
        <w:pageBreakBefore w:val="0"/>
        <w:widowControl w:val="1"/>
        <w:spacing w:before="220" w:after="80"/>
      </w:pPr>
      <w:r>
        <w:rPr>
          <w:rFonts w:ascii="Calibri" w:hAnsi="Calibri" w:cs="Calibri" w:eastAsia="Calibri"/>
          <w:b/>
          <w:i w:val="0"/>
          <w:color w:val="0C2340"/>
          <w:sz w:val="21"/>
          <w:u w:val="none"/>
        </w:rPr>
        <w:t>Western Corridor</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Western Corridor</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276"/>
              <w:gridCol w:w="1914"/>
              <w:gridCol w:w="1276"/>
              <w:gridCol w:w="1914"/>
              <w:gridCol w:w="1276"/>
              <w:gridCol w:w="1914"/>
            </w:tblGrid>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 house</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$1,048,000</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12-month growth</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+5.8%</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rent</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$720/wk</w:t>
                  </w:r>
                </w:p>
              </w:tc>
            </w:tr>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Gross yield</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3.6%</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Vacancy</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1.4%</w:t>
                  </w:r>
                </w:p>
              </w:tc>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Days on market</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w:t>
                  </w:r>
                </w:p>
              </w:tc>
            </w:tr>
          </w:tbl>
          <w:p/>
        </w:tc>
      </w:tr>
    </w:tbl>
    <w:p>
      <w:pPr>
        <w:keepNext w:val="0"/>
        <w:keepLines/>
        <w:pageBreakBefore w:val="0"/>
        <w:widowControl w:val="1"/>
        <w:spacing w:before="0" w:after="0" w:line="72"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10192A"/>
          <w:sz w:val="17"/>
          <w:u w:val="none"/>
        </w:rPr>
        <w:t>Strongest growth and the only region with a yield above 3%. Infrastructure delivery is the driver and also the risk: two of the three committed projects have slipped by more than a year.</w:t>
      </w:r>
    </w:p>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2   Comparative table</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All regions, common indicators</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All regions at a glance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ll regions at a glance"/>
        <w:tblDescription w:val="Columns: Region, Median, 12-mth, Rent, Yield, Vacancy, DOM, Listings"/>
      </w:tblPr>
      <w:tblGrid>
        <w:gridCol w:w="2149"/>
        <w:gridCol w:w="1588"/>
        <w:gridCol w:w="1121"/>
        <w:gridCol w:w="1121"/>
        <w:gridCol w:w="1028"/>
        <w:gridCol w:w="1121"/>
        <w:gridCol w:w="841"/>
        <w:gridCol w:w="1121"/>
      </w:tblGrid>
      <w:tr>
        <w:trPr>
          <w:cantSplit/>
          <w:trHeight w:val="420" w:hRule="atLeast"/>
          <w:tblHeader/>
        </w:trPr>
        <w:tc>
          <w:tcPr>
            <w:tcW w:type="dxa" w:w="2149"/>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Region</w:t>
            </w:r>
          </w:p>
        </w:tc>
        <w:tc>
          <w:tcPr>
            <w:tcW w:type="dxa" w:w="1588"/>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Median</w:t>
            </w:r>
          </w:p>
        </w:tc>
        <w:tc>
          <w:tcPr>
            <w:tcW w:type="dxa" w:w="112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12-mth</w:t>
            </w:r>
          </w:p>
        </w:tc>
        <w:tc>
          <w:tcPr>
            <w:tcW w:type="dxa" w:w="112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Rent</w:t>
            </w:r>
          </w:p>
        </w:tc>
        <w:tc>
          <w:tcPr>
            <w:tcW w:type="dxa" w:w="1028"/>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Yield</w:t>
            </w:r>
          </w:p>
        </w:tc>
        <w:tc>
          <w:tcPr>
            <w:tcW w:type="dxa" w:w="112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Vacancy</w:t>
            </w:r>
          </w:p>
        </w:tc>
        <w:tc>
          <w:tcPr>
            <w:tcW w:type="dxa" w:w="84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DOM</w:t>
            </w:r>
          </w:p>
        </w:tc>
        <w:tc>
          <w:tcPr>
            <w:tcW w:type="dxa" w:w="112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Listings</w:t>
            </w:r>
          </w:p>
        </w:tc>
      </w:tr>
      <w:tr>
        <w:trPr>
          <w:cantSplit/>
          <w:trHeight w:val="397" w:hRule="atLeast"/>
        </w:trPr>
        <w:tc>
          <w:tcPr>
            <w:tcW w:type="dxa" w:w="21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Lower North Shore</w:t>
            </w:r>
          </w:p>
        </w:tc>
        <w:tc>
          <w:tcPr>
            <w:tcW w:type="dxa" w:w="158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$2,180,000</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$1,090</w:t>
            </w:r>
          </w:p>
        </w:tc>
        <w:tc>
          <w:tcPr>
            <w:tcW w:type="dxa" w:w="102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2.6%</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w:t>
            </w:r>
          </w:p>
        </w:tc>
        <w:tc>
          <w:tcPr>
            <w:tcW w:type="dxa" w:w="84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24</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−19%</w:t>
            </w:r>
          </w:p>
        </w:tc>
      </w:tr>
      <w:tr>
        <w:trPr>
          <w:cantSplit/>
          <w:trHeight w:val="397" w:hRule="atLeast"/>
        </w:trPr>
        <w:tc>
          <w:tcPr>
            <w:tcW w:type="dxa" w:w="2149"/>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Inner West</w:t>
            </w:r>
          </w:p>
        </w:tc>
        <w:tc>
          <w:tcPr>
            <w:tcW w:type="dxa" w:w="158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$1,742,000</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+3.4%</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$980</w:t>
            </w:r>
          </w:p>
        </w:tc>
        <w:tc>
          <w:tcPr>
            <w:tcW w:type="dxa" w:w="102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2.9%</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1.3%</w:t>
            </w:r>
          </w:p>
        </w:tc>
        <w:tc>
          <w:tcPr>
            <w:tcW w:type="dxa" w:w="84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27</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−12%</w:t>
            </w:r>
          </w:p>
        </w:tc>
      </w:tr>
      <w:tr>
        <w:trPr>
          <w:cantSplit/>
          <w:trHeight w:val="397" w:hRule="atLeast"/>
        </w:trPr>
        <w:tc>
          <w:tcPr>
            <w:tcW w:type="dxa" w:w="21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Northern Beaches</w:t>
            </w:r>
          </w:p>
        </w:tc>
        <w:tc>
          <w:tcPr>
            <w:tcW w:type="dxa" w:w="158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$2,410,000</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+2.2%</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$1,150</w:t>
            </w:r>
          </w:p>
        </w:tc>
        <w:tc>
          <w:tcPr>
            <w:tcW w:type="dxa" w:w="102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2.5%</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w:t>
            </w:r>
          </w:p>
        </w:tc>
        <w:tc>
          <w:tcPr>
            <w:tcW w:type="dxa" w:w="84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34</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w:t>
            </w:r>
          </w:p>
        </w:tc>
      </w:tr>
      <w:tr>
        <w:trPr>
          <w:cantSplit/>
          <w:trHeight w:val="397" w:hRule="atLeast"/>
        </w:trPr>
        <w:tc>
          <w:tcPr>
            <w:tcW w:type="dxa" w:w="2149"/>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Western Corridor</w:t>
            </w:r>
          </w:p>
        </w:tc>
        <w:tc>
          <w:tcPr>
            <w:tcW w:type="dxa" w:w="158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$1,048,000</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+5.8%</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$720</w:t>
            </w:r>
          </w:p>
        </w:tc>
        <w:tc>
          <w:tcPr>
            <w:tcW w:type="dxa" w:w="102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3.6%</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1.4%</w:t>
            </w:r>
          </w:p>
        </w:tc>
        <w:tc>
          <w:tcPr>
            <w:tcW w:type="dxa" w:w="84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31</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DOM is median days on market. Listings is the change in new listing volume against the corresponding quarter last year.</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3   Outlook</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Two quarters ahead</w:t>
            </w:r>
          </w:p>
        </w:tc>
      </w:tr>
    </w:tbl>
    <w:p>
      <w:pPr>
        <w:keepNext w:val="0"/>
        <w:keepLines/>
        <w:pageBreakBefore w:val="0"/>
        <w:widowControl w:val="1"/>
        <w:spacing w:before="0" w:after="0" w:line="180"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10192A"/>
          <w:sz w:val="19"/>
          <w:u w:val="none"/>
        </w:rPr>
        <w:t>We expect listing volumes to stay below the five-year average through the next two quarters. The usual spring lift will occur but from a lower base, and we do not expect it to relieve the supply constraint in the three inner regions.</w:t>
      </w:r>
    </w:p>
    <w:p>
      <w:pPr>
        <w:keepNext w:val="0"/>
        <w:keepLines/>
        <w:pageBreakBefore w:val="0"/>
        <w:widowControl w:val="1"/>
        <w:spacing w:before="100" w:after="0" w:line="326" w:lineRule="auto"/>
      </w:pPr>
      <w:r>
        <w:rPr>
          <w:rFonts w:ascii="Calibri" w:hAnsi="Calibri" w:cs="Calibri" w:eastAsia="Calibri"/>
          <w:b w:val="0"/>
          <w:i w:val="0"/>
          <w:color w:val="10192A"/>
          <w:sz w:val="19"/>
          <w:u w:val="none"/>
        </w:rPr>
        <w:t>Rental growth should continue to decelerate. Vacancy below 1.5% would normally signal further rent rises, but the deceleration from 4.8% to 2.1% over four quarters, against unchanged vacancy, points to an affordability ceiling. We expect rents to track wages rather than vacancy from here.</w:t>
      </w:r>
    </w:p>
    <w:p>
      <w:pPr>
        <w:keepNext w:val="0"/>
        <w:keepLines/>
        <w:pageBreakBefore w:val="0"/>
        <w:widowControl w:val="1"/>
        <w:spacing w:before="100" w:after="0" w:line="326" w:lineRule="auto"/>
      </w:pPr>
      <w:r>
        <w:rPr>
          <w:rFonts w:ascii="Calibri" w:hAnsi="Calibri" w:cs="Calibri" w:eastAsia="Calibri"/>
          <w:b w:val="0"/>
          <w:i w:val="0"/>
          <w:color w:val="10192A"/>
          <w:sz w:val="19"/>
          <w:u w:val="none"/>
        </w:rPr>
        <w:t>The Western Corridor is the region most likely to surprise, in either direction. Its growth advantage rests on infrastructure delivery, and two of three committed projects have already slipped more than a year.</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4C5B73"/>
              <w:bottom w:val="single" w:sz="4" w:space="0" w:color="DCE3ED"/>
              <w:right w:val="single" w:sz="4" w:space="0" w:color="DCE3ED"/>
            </w:tcBorders>
            <w:shd w:val="clear" w:color="auto" w:fill="EDF1F7"/>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4C5B73"/>
                <w:spacing w:val="32"/>
                <w:sz w:val="15"/>
                <w:u w:val="none"/>
              </w:rPr>
              <w:t>What would change this view</w:t>
            </w:r>
          </w:p>
          <w:p>
            <w:pPr>
              <w:keepNext w:val="0"/>
              <w:keepLines/>
              <w:pageBreakBefore w:val="0"/>
              <w:widowControl w:val="1"/>
              <w:spacing w:before="0" w:after="0" w:line="326" w:lineRule="auto"/>
            </w:pPr>
            <w:r>
              <w:rPr>
                <w:rFonts w:ascii="Calibri" w:hAnsi="Calibri" w:cs="Calibri" w:eastAsia="Calibri"/>
                <w:b w:val="0"/>
                <w:i w:val="0"/>
                <w:color w:val="10192A"/>
                <w:sz w:val="17"/>
                <w:u w:val="none"/>
              </w:rPr>
              <w:t>A material change in credit policy, or a movement in the cash rate of more than 50 basis points in either direction, would invalidate the outlook above. We would publish an interim note rather than wait for the next quarterly edition.</w:t>
            </w:r>
          </w:p>
        </w:tc>
      </w:tr>
    </w:tbl>
    <w:p>
      <w:pPr>
        <w:keepNext w:val="0"/>
        <w:keepLines/>
        <w:pageBreakBefore w:val="0"/>
        <w:widowControl w:val="1"/>
        <w:spacing w:before="0" w:after="0"/>
      </w:pPr>
      <w:r>
        <w:br w:type="page"/>
      </w:r>
    </w:p>
    <w:p>
      <w:pPr>
        <w:keepNext/>
        <w:keepLines/>
        <w:pageBreakBefore w:val="0"/>
        <w:widowControl w:val="1"/>
        <w:spacing w:before="0" w:after="80"/>
      </w:pPr>
      <w:r>
        <w:rPr>
          <w:rFonts w:ascii="Calibri" w:hAnsi="Calibri" w:cs="Calibri" w:eastAsia="Calibri"/>
          <w:b/>
          <w:i w:val="0"/>
          <w:caps w:val="1"/>
          <w:color w:val="1D6FE0"/>
          <w:spacing w:val="56"/>
          <w:sz w:val="15"/>
          <w:u w:val="none"/>
        </w:rPr>
        <w:t>APPENDIX A</w:t>
      </w:r>
    </w:p>
    <w:p>
      <w:pPr>
        <w:keepNext/>
        <w:keepLines/>
        <w:pageBreakBefore w:val="0"/>
        <w:widowControl w:val="1"/>
        <w:spacing w:before="0" w:after="120"/>
      </w:pPr>
      <w:r>
        <w:rPr>
          <w:rFonts w:ascii="Calibri" w:hAnsi="Calibri" w:cs="Calibri" w:eastAsia="Calibri"/>
          <w:b/>
          <w:i w:val="0"/>
          <w:color w:val="0C2340"/>
          <w:sz w:val="34"/>
          <w:u w:val="none"/>
        </w:rPr>
        <w:t>Methodology</w:t>
      </w:r>
    </w:p>
    <w:p>
      <w:pPr>
        <w:keepNext w:val="0"/>
        <w:keepLines/>
        <w:pageBreakBefore w:val="0"/>
        <w:widowControl w:val="1"/>
        <w:pBdr>
          <w:bottom w:val="single" w:sz="10" w:space="1" w:color="1D6FE0"/>
        </w:pBdr>
        <w:spacing w:before="0" w:after="120" w:line="20"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4C5B73"/>
          <w:sz w:val="19"/>
          <w:u w:val="none"/>
        </w:rPr>
        <w:t>Definitions, sources and as-at dates for every indicator.</w:t>
      </w:r>
    </w:p>
    <w:p>
      <w:pPr>
        <w:keepNext w:val="0"/>
        <w:keepLines/>
        <w:pageBreakBefore w:val="0"/>
        <w:widowControl w:val="1"/>
        <w:spacing w:before="0" w:after="0" w:line="108"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Indicator, Definition, Source, As at"/>
      </w:tblPr>
      <w:tblGrid>
        <w:gridCol w:w="2154"/>
        <w:gridCol w:w="3855"/>
        <w:gridCol w:w="2494"/>
        <w:gridCol w:w="1587"/>
      </w:tblGrid>
      <w:tr>
        <w:trPr>
          <w:cantSplit/>
          <w:trHeight w:val="420" w:hRule="atLeast"/>
          <w:tblHeader/>
        </w:trPr>
        <w:tc>
          <w:tcPr>
            <w:tcW w:type="dxa" w:w="2154"/>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Indicator</w:t>
            </w:r>
          </w:p>
        </w:tc>
        <w:tc>
          <w:tcPr>
            <w:tcW w:type="dxa" w:w="3855"/>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Definition</w:t>
            </w:r>
          </w:p>
        </w:tc>
        <w:tc>
          <w:tcPr>
            <w:tcW w:type="dxa" w:w="2494"/>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Source</w:t>
            </w:r>
          </w:p>
        </w:tc>
        <w:tc>
          <w:tcPr>
            <w:tcW w:type="dxa" w:w="1587"/>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As at</w:t>
            </w:r>
          </w:p>
        </w:tc>
      </w:tr>
      <w:tr>
        <w:trPr>
          <w:cantSplit/>
          <w:trHeight w:val="397" w:hRule="atLeast"/>
        </w:trPr>
        <w:tc>
          <w:tcPr>
            <w:tcW w:type="dxa" w:w="215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Median price</w:t>
            </w:r>
          </w:p>
        </w:tc>
        <w:tc>
          <w:tcPr>
            <w:tcW w:type="dxa" w:w="385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12-month rolling median, houses only</w:t>
            </w:r>
          </w:p>
        </w:tc>
        <w:tc>
          <w:tcPr>
            <w:tcW w:type="dxa" w:w="249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State valuer-general</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30/06/2026</w:t>
            </w:r>
          </w:p>
        </w:tc>
      </w:tr>
      <w:tr>
        <w:trPr>
          <w:cantSplit/>
          <w:trHeight w:val="397" w:hRule="atLeast"/>
        </w:trPr>
        <w:tc>
          <w:tcPr>
            <w:tcW w:type="dxa" w:w="215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Median rent</w:t>
            </w:r>
          </w:p>
        </w:tc>
        <w:tc>
          <w:tcPr>
            <w:tcW w:type="dxa" w:w="3855"/>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New bonds lodged, all dwelling types</w:t>
            </w:r>
          </w:p>
        </w:tc>
        <w:tc>
          <w:tcPr>
            <w:tcW w:type="dxa" w:w="249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Rental bond authority</w:t>
            </w:r>
          </w:p>
        </w:tc>
        <w:tc>
          <w:tcPr>
            <w:tcW w:type="dxa" w:w="158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30/06/2026</w:t>
            </w:r>
          </w:p>
        </w:tc>
      </w:tr>
      <w:tr>
        <w:trPr>
          <w:cantSplit/>
          <w:trHeight w:val="397" w:hRule="atLeast"/>
        </w:trPr>
        <w:tc>
          <w:tcPr>
            <w:tcW w:type="dxa" w:w="215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Gross yield</w:t>
            </w:r>
          </w:p>
        </w:tc>
        <w:tc>
          <w:tcPr>
            <w:tcW w:type="dxa" w:w="385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Annualised median rent over median price</w:t>
            </w:r>
          </w:p>
        </w:tc>
        <w:tc>
          <w:tcPr>
            <w:tcW w:type="dxa" w:w="249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Derived</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30/06/2026</w:t>
            </w:r>
          </w:p>
        </w:tc>
      </w:tr>
      <w:tr>
        <w:trPr>
          <w:cantSplit/>
          <w:trHeight w:val="397" w:hRule="atLeast"/>
        </w:trPr>
        <w:tc>
          <w:tcPr>
            <w:tcW w:type="dxa" w:w="215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Vacancy</w:t>
            </w:r>
          </w:p>
        </w:tc>
        <w:tc>
          <w:tcPr>
            <w:tcW w:type="dxa" w:w="3855"/>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Vacant rental stock over total rental stock</w:t>
            </w:r>
          </w:p>
        </w:tc>
        <w:tc>
          <w:tcPr>
            <w:tcW w:type="dxa" w:w="249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Aurixa market data</w:t>
            </w:r>
          </w:p>
        </w:tc>
        <w:tc>
          <w:tcPr>
            <w:tcW w:type="dxa" w:w="158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30/06/2026</w:t>
            </w:r>
          </w:p>
        </w:tc>
      </w:tr>
      <w:tr>
        <w:trPr>
          <w:cantSplit/>
          <w:trHeight w:val="397" w:hRule="atLeast"/>
        </w:trPr>
        <w:tc>
          <w:tcPr>
            <w:tcW w:type="dxa" w:w="215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Days on market</w:t>
            </w:r>
          </w:p>
        </w:tc>
        <w:tc>
          <w:tcPr>
            <w:tcW w:type="dxa" w:w="385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Median days from first listing to exchange</w:t>
            </w:r>
          </w:p>
        </w:tc>
        <w:tc>
          <w:tcPr>
            <w:tcW w:type="dxa" w:w="249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Aurixa market data</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30/06/2026</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Important information</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Disclaimer, privacy and terms</w:t>
            </w:r>
          </w:p>
        </w:tc>
      </w:tr>
    </w:tbl>
    <w:p>
      <w:pPr>
        <w:keepNext w:val="0"/>
        <w:keepLines/>
        <w:pageBreakBefore w:val="0"/>
        <w:widowControl w:val="1"/>
        <w:spacing w:before="0" w:after="0" w:line="18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26"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26"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26"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p>
      <w:pPr>
        <w:keepNext w:val="0"/>
        <w:keepLines/>
        <w:pageBreakBefore w:val="0"/>
        <w:widowControl w:val="1"/>
        <w:spacing w:before="0" w:after="0"/>
      </w:pPr>
      <w:r>
        <w:br w:type="page"/>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0C2340"/>
              <w:left w:val="single" w:sz="4" w:space="0" w:color="0C2340"/>
              <w:bottom w:val="single" w:sz="4" w:space="0" w:color="0C2340"/>
              <w:right w:val="single" w:sz="4" w:space="0" w:color="0C2340"/>
            </w:tcBorders>
            <w:shd w:val="clear" w:color="auto" w:fill="0C2340"/>
            <w:tcMar>
              <w:top w:w="320" w:type="dxa"/>
              <w:left w:w="260" w:type="dxa"/>
              <w:bottom w:w="320" w:type="dxa"/>
              <w:right w:w="260" w:type="dxa"/>
            </w:tcMa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061"/>
            </w:tblGrid>
            <w:tr>
              <w:trPr>
                <w:cantSplit/>
              </w:trPr>
              <w:tc>
                <w:tcPr>
                  <w:tcW w:type="dxa" w:w="3061"/>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40"/>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60"/>
            </w:pPr>
            <w:r>
              <w:rPr>
                <w:rFonts w:ascii="Calibri" w:hAnsi="Calibri" w:cs="Calibri" w:eastAsia="Calibri"/>
                <w:b/>
                <w:i w:val="0"/>
                <w:color w:val="FFFFFF"/>
                <w:sz w:val="34"/>
                <w:u w:val="none"/>
              </w:rPr>
              <w:t>Aurixa Systems</w:t>
            </w:r>
          </w:p>
          <w:p>
            <w:pPr>
              <w:keepNext w:val="0"/>
              <w:keepLines/>
              <w:pageBreakBefore w:val="0"/>
              <w:widowControl w:val="1"/>
              <w:spacing w:before="0" w:after="200"/>
            </w:pPr>
            <w:r>
              <w:rPr>
                <w:rFonts w:ascii="Calibri" w:hAnsi="Calibri" w:cs="Calibri" w:eastAsia="Calibri"/>
                <w:b/>
                <w:i w:val="0"/>
                <w:caps w:val="1"/>
                <w:color w:val="1D6FE0"/>
                <w:spacing w:val="44"/>
                <w:sz w:val="15"/>
                <w:u w:val="none"/>
              </w:rPr>
              <w:t>INTELLIGENT PROPERTY &amp; FINANCE INFRASTRUCTURE</w:t>
            </w:r>
          </w:p>
          <w:p>
            <w:pPr>
              <w:keepNext w:val="0"/>
              <w:keepLines/>
              <w:pageBreakBefore w:val="0"/>
              <w:widowControl w:val="1"/>
              <w:spacing w:before="0" w:after="80" w:line="298" w:lineRule="auto"/>
            </w:pPr>
            <w:r>
              <w:rPr>
                <w:rFonts w:ascii="Calibri" w:hAnsi="Calibri" w:cs="Calibri" w:eastAsia="Calibri"/>
                <w:b/>
                <w:i w:val="0"/>
                <w:caps w:val="1"/>
                <w:color w:val="1D6FE0"/>
                <w:spacing w:val="26"/>
                <w:sz w:val="14"/>
                <w:u w:val="none"/>
              </w:rPr>
              <w:t xml:space="preserve">WEB   </w:t>
            </w:r>
            <w:r>
              <w:rPr>
                <w:rFonts w:ascii="Calibri" w:hAnsi="Calibri" w:cs="Calibri" w:eastAsia="Calibri"/>
                <w:b w:val="0"/>
                <w:i w:val="0"/>
                <w:color w:val="AFC0D6"/>
                <w:sz w:val="17"/>
                <w:u w:val="none"/>
              </w:rPr>
              <w:t>www.example.com.au</w:t>
            </w:r>
          </w:p>
          <w:p>
            <w:pPr>
              <w:keepNext w:val="0"/>
              <w:keepLines/>
              <w:pageBreakBefore w:val="0"/>
              <w:widowControl w:val="1"/>
              <w:spacing w:before="0" w:after="80" w:line="298" w:lineRule="auto"/>
            </w:pPr>
            <w:r>
              <w:rPr>
                <w:rFonts w:ascii="Calibri" w:hAnsi="Calibri" w:cs="Calibri" w:eastAsia="Calibri"/>
                <w:b/>
                <w:i w:val="0"/>
                <w:caps w:val="1"/>
                <w:color w:val="1D6FE0"/>
                <w:spacing w:val="26"/>
                <w:sz w:val="14"/>
                <w:u w:val="none"/>
              </w:rPr>
              <w:t xml:space="preserve">EMAIL   </w:t>
            </w:r>
            <w:r>
              <w:rPr>
                <w:rFonts w:ascii="Calibri" w:hAnsi="Calibri" w:cs="Calibri" w:eastAsia="Calibri"/>
                <w:b w:val="0"/>
                <w:i w:val="0"/>
                <w:color w:val="AFC0D6"/>
                <w:sz w:val="17"/>
                <w:u w:val="none"/>
              </w:rPr>
              <w:t>hello@example.com.au</w:t>
            </w:r>
          </w:p>
          <w:p>
            <w:pPr>
              <w:keepNext w:val="0"/>
              <w:keepLines/>
              <w:pageBreakBefore w:val="0"/>
              <w:widowControl w:val="1"/>
              <w:spacing w:before="0" w:after="80" w:line="298" w:lineRule="auto"/>
            </w:pPr>
            <w:r>
              <w:rPr>
                <w:rFonts w:ascii="Calibri" w:hAnsi="Calibri" w:cs="Calibri" w:eastAsia="Calibri"/>
                <w:b/>
                <w:i w:val="0"/>
                <w:caps w:val="1"/>
                <w:color w:val="1D6FE0"/>
                <w:spacing w:val="26"/>
                <w:sz w:val="14"/>
                <w:u w:val="none"/>
              </w:rPr>
              <w:t xml:space="preserve">PHONE   </w:t>
            </w:r>
            <w:r>
              <w:rPr>
                <w:rFonts w:ascii="Calibri" w:hAnsi="Calibri" w:cs="Calibri" w:eastAsia="Calibri"/>
                <w:b w:val="0"/>
                <w:i w:val="0"/>
                <w:color w:val="AFC0D6"/>
                <w:sz w:val="17"/>
                <w:u w:val="none"/>
              </w:rPr>
              <w:t>(02) 8000 1234</w:t>
            </w:r>
          </w:p>
          <w:p>
            <w:pPr>
              <w:keepNext w:val="0"/>
              <w:keepLines/>
              <w:pageBreakBefore w:val="0"/>
              <w:widowControl w:val="1"/>
              <w:spacing w:before="0" w:after="80" w:line="298" w:lineRule="auto"/>
            </w:pPr>
            <w:r>
              <w:rPr>
                <w:rFonts w:ascii="Calibri" w:hAnsi="Calibri" w:cs="Calibri" w:eastAsia="Calibri"/>
                <w:b/>
                <w:i w:val="0"/>
                <w:caps w:val="1"/>
                <w:color w:val="1D6FE0"/>
                <w:spacing w:val="26"/>
                <w:sz w:val="14"/>
                <w:u w:val="none"/>
              </w:rPr>
              <w:t xml:space="preserve">ADDRESS   </w:t>
            </w:r>
            <w:r>
              <w:rPr>
                <w:rFonts w:ascii="Calibri" w:hAnsi="Calibri" w:cs="Calibri" w:eastAsia="Calibri"/>
                <w:b w:val="0"/>
                <w:i w:val="0"/>
                <w:color w:val="AFC0D6"/>
                <w:sz w:val="17"/>
                <w:u w:val="none"/>
              </w:rPr>
              <w:t>Level 4, 100 Sample Street, Sydney NSW 2000</w:t>
            </w:r>
          </w:p>
          <w:p>
            <w:pPr>
              <w:keepNext w:val="0"/>
              <w:keepLines/>
              <w:pageBreakBefore w:val="0"/>
              <w:widowControl w:val="1"/>
              <w:spacing w:before="0" w:after="80" w:line="298" w:lineRule="auto"/>
            </w:pPr>
            <w:r>
              <w:rPr>
                <w:rFonts w:ascii="Calibri" w:hAnsi="Calibri" w:cs="Calibri" w:eastAsia="Calibri"/>
                <w:b/>
                <w:i w:val="0"/>
                <w:caps w:val="1"/>
                <w:color w:val="1D6FE0"/>
                <w:spacing w:val="26"/>
                <w:sz w:val="14"/>
                <w:u w:val="none"/>
              </w:rPr>
              <w:t xml:space="preserve">SOCIAL   </w:t>
            </w:r>
            <w:r>
              <w:rPr>
                <w:rFonts w:ascii="Calibri" w:hAnsi="Calibri" w:cs="Calibri" w:eastAsia="Calibri"/>
                <w:b w:val="0"/>
                <w:i w:val="0"/>
                <w:color w:val="AFC0D6"/>
                <w:sz w:val="17"/>
                <w:u w:val="none"/>
              </w:rPr>
              <w:t>linkedin.com/company/example</w:t>
            </w:r>
          </w:p>
          <w:p>
            <w:pPr>
              <w:keepNext w:val="0"/>
              <w:keepLines/>
              <w:pageBreakBefore w:val="0"/>
              <w:widowControl w:val="1"/>
              <w:spacing w:before="0" w:after="0" w:line="200" w:lineRule="exact"/>
            </w:pPr>
            <w:r>
              <w:rPr>
                <w:sz w:val="2"/>
              </w:rPr>
            </w:r>
          </w:p>
          <w:p>
            <w:pPr>
              <w:keepNext w:val="0"/>
              <w:keepLines/>
              <w:pageBreakBefore w:val="0"/>
              <w:widowControl w:val="1"/>
              <w:spacing w:before="0" w:after="0"/>
            </w:pPr>
            <w:r>
              <w:rPr>
                <w:rFonts w:ascii="Calibri" w:hAnsi="Calibri" w:cs="Calibri" w:eastAsia="Calibri"/>
                <w:b w:val="0"/>
                <w:i w:val="0"/>
                <w:caps w:val="1"/>
                <w:color w:val="AFC0D6"/>
                <w:spacing w:val="32"/>
                <w:sz w:val="14"/>
                <w:u w:val="none"/>
              </w:rPr>
              <w:t>Aurixa Systems</w:t>
            </w:r>
          </w:p>
        </w:tc>
      </w:tr>
    </w:tbl>
    <w:p>
      <w:pPr>
        <w:keepNext w:val="0"/>
        <w:keepLines/>
        <w:pageBreakBefore w:val="0"/>
        <w:widowControl w:val="1"/>
        <w:spacing w:before="0" w:after="0" w:line="160" w:lineRule="exact"/>
      </w:pPr>
      <w:r>
        <w:rPr>
          <w:sz w:val="2"/>
        </w:rPr>
      </w:r>
    </w:p>
    <w:p>
      <w:pPr>
        <w:keepNext w:val="0"/>
        <w:keepLines/>
        <w:pageBreakBefore w:val="0"/>
        <w:widowControl w:val="1"/>
        <w:spacing w:before="0" w:after="0"/>
        <w:jc w:val="center"/>
      </w:pPr>
      <w:r>
        <w:rPr>
          <w:rFonts w:ascii="Calibri" w:hAnsi="Calibri" w:cs="Calibri" w:eastAsia="Calibri"/>
          <w:b w:val="0"/>
          <w:i w:val="0"/>
          <w:color w:val="8493A8"/>
          <w:sz w:val="14"/>
          <w:u w:val="none"/>
        </w:rPr>
        <w:t>Example Advisory Pty Ltd   ·   ABN 12 600 123 456   ·   COMMERCIAL IN CONFIDENCE</w:t>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3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32"/>
              <w:sz w:val="14"/>
              <w:u w:val="none"/>
            </w:rPr>
            <w:t>Market &amp; Area Research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26"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&amp; Area Research Report</dc:title>
  <dc:subject>Wider market commentary across several regions or asset classes, built for periodic publication rather than a single client decision.</dc:subject>
  <dc:creator>Aurixa Systems</dc:creator>
  <cp:keywords>Market research, Market update, Regional analysis, Property &amp; Buyer's Agency,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