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C2CDDC"/>
              <w:left w:val="single" w:sz="6" w:space="0" w:color="C2CDDC"/>
              <w:bottom w:val="single" w:sz="6" w:space="0" w:color="C2CDDC"/>
              <w:right w:val="single" w:sz="6" w:space="0" w:color="C2CDDC"/>
            </w:tcBorders>
            <w:shd w:val="clear" w:color="auto" w:fill="EDF1F7"/>
            <w:tcMar>
              <w:top w:w="1250" w:type="dxa"/>
              <w:left w:w="200" w:type="dxa"/>
              <w:bottom w:w="1250" w:type="dxa"/>
              <w:right w:w="20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6"/>
                <w:sz w:val="15"/>
                <w:u w:val="none"/>
              </w:rPr>
              <w:t>[  COVER IMAGE  —  1600 × 900 px minimum  ]</w:t>
            </w:r>
          </w:p>
          <w:p>
            <w:pPr>
              <w:keepNext w:val="0"/>
              <w:keepLines/>
              <w:pageBreakBefore w:val="0"/>
              <w:widowControl w:val="1"/>
              <w:spacing w:before="10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North-east aspect across the harbour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2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855"/>
      </w:tblGrid>
      <w:tr>
        <w:trPr>
          <w:cantSplit/>
        </w:trPr>
        <w:tc>
          <w:tcPr>
            <w:tcW w:type="dxa" w:w="3855"/>
            <w:tcBorders>
              <w:top w:val="dashed" w:sz="8" w:space="0" w:color="C2CDDC"/>
              <w:left w:val="dashed" w:sz="8" w:space="0" w:color="C2CDDC"/>
              <w:bottom w:val="dashed" w:sz="8" w:space="0" w:color="C2CDDC"/>
              <w:right w:val="dashed" w:sz="8" w:space="0" w:color="C2CDDC"/>
            </w:tcBorders>
            <w:tcMar>
              <w:top w:w="190" w:type="dxa"/>
              <w:left w:w="130" w:type="dxa"/>
              <w:bottom w:w="190" w:type="dxa"/>
              <w:right w:w="13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60"/>
                <w:sz w:val="14"/>
                <w:u w:val="none"/>
              </w:rPr>
              <w:t>[  AURIXA SYSTEMS  ]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8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160"/>
        <w:jc w:val="center"/>
      </w:pPr>
      <w:r>
        <w:rPr>
          <w:rFonts w:ascii="Calibri" w:hAnsi="Calibri" w:cs="Calibri" w:eastAsia="Calibri"/>
          <w:b/>
          <w:i w:val="0"/>
          <w:caps w:val="1"/>
          <w:color w:val="12B0CE"/>
          <w:spacing w:val="92"/>
          <w:sz w:val="16"/>
          <w:u w:val="none"/>
        </w:rPr>
        <w:t>Private &amp; confidential</w:t>
      </w:r>
    </w:p>
    <w:p>
      <w:pPr>
        <w:keepNext/>
        <w:keepLines/>
        <w:pageBreakBefore w:val="0"/>
        <w:widowControl w:val="1"/>
        <w:spacing w:before="0" w:after="200" w:line="245" w:lineRule="auto"/>
        <w:jc w:val="center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64"/>
          <w:u w:val="none"/>
        </w:rPr>
        <w:t>A Harbourside Residence, Off Market</w:t>
      </w:r>
    </w:p>
    <w:p>
      <w:pPr>
        <w:keepNext w:val="0"/>
        <w:keepLines/>
        <w:pageBreakBefore w:val="0"/>
        <w:widowControl w:val="1"/>
        <w:pBdr>
          <w:bottom w:val="single" w:sz="8" w:space="1" w:color="12B0CE"/>
        </w:pBdr>
        <w:spacing w:before="0" w:after="20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60" w:lineRule="auto"/>
        <w:jc w:val="center"/>
      </w:pPr>
      <w:r>
        <w:rPr>
          <w:rFonts w:ascii="Calibri" w:hAnsi="Calibri" w:cs="Calibri" w:eastAsia="Calibri"/>
          <w:b w:val="0"/>
          <w:i w:val="0"/>
          <w:color w:val="4C5B73"/>
          <w:sz w:val="22"/>
          <w:u w:val="none"/>
        </w:rPr>
        <w:t>An opportunity offered privately, ahead of any public campaign.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The opportunity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55" w:lineRule="auto"/>
      </w:pPr>
      <w:r>
        <w:rPr>
          <w:rFonts w:ascii="Calibri" w:hAnsi="Calibri" w:cs="Calibri" w:eastAsia="Calibri"/>
          <w:b w:val="0"/>
          <w:i w:val="0"/>
          <w:color w:val="10192A"/>
          <w:sz w:val="20"/>
          <w:u w:val="none"/>
        </w:rPr>
        <w:t>The property has been held by one family since 1974. It has not been offered publicly, and the owners have asked that it not be. We have been given a four-week window to introduce it to a small number of qualified buyers before any decision is made about a campaign.</w:t>
      </w:r>
    </w:p>
    <w:p>
      <w:pPr>
        <w:keepNext w:val="0"/>
        <w:keepLines/>
        <w:pageBreakBefore w:val="0"/>
        <w:widowControl w:val="1"/>
        <w:spacing w:before="100" w:after="0" w:line="355" w:lineRule="auto"/>
      </w:pPr>
      <w:r>
        <w:rPr>
          <w:rFonts w:ascii="Calibri" w:hAnsi="Calibri" w:cs="Calibri" w:eastAsia="Calibri"/>
          <w:b w:val="0"/>
          <w:i w:val="0"/>
          <w:color w:val="10192A"/>
          <w:sz w:val="20"/>
          <w:u w:val="none"/>
        </w:rPr>
        <w:t>It occupies 1,140 square metres on the high side of a cul-de-sac, with a north-east aspect and unimpeded water views from the principal living level. The house is substantial and original. It is habitable as it stands and will reward either a considered restoration or a replacement dwelling, subject to the usual approvals.</w:t>
      </w:r>
    </w:p>
    <w:p>
      <w:pPr>
        <w:keepNext w:val="0"/>
        <w:keepLines/>
        <w:pageBreakBefore w:val="0"/>
        <w:widowControl w:val="1"/>
        <w:spacing w:before="100" w:after="0" w:line="355" w:lineRule="auto"/>
      </w:pPr>
      <w:r>
        <w:rPr>
          <w:rFonts w:ascii="Calibri" w:hAnsi="Calibri" w:cs="Calibri" w:eastAsia="Calibri"/>
          <w:b w:val="0"/>
          <w:i w:val="0"/>
          <w:color w:val="10192A"/>
          <w:sz w:val="20"/>
          <w:u w:val="none"/>
        </w:rPr>
        <w:t>Opportunities of this kind on this street reach the open market perhaps once in a decade. We are able to arrange an inspection at short notice.</w:t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71527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4"/>
                <w:u w:val="none"/>
              </w:rPr>
              <w:t>GUIDE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71527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4"/>
                <w:u w:val="none"/>
              </w:rPr>
              <w:t>LAND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71527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4"/>
                <w:u w:val="none"/>
              </w:rPr>
              <w:t>ACCOMMODATION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71527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4"/>
                <w:u w:val="none"/>
              </w:rPr>
              <w:t>AVAILABILITY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32"/>
                <w:u w:val="none"/>
              </w:rPr>
              <w:t>$6.4m – $6.9m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Private treaty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32"/>
                <w:u w:val="none"/>
              </w:rPr>
              <w:t>1,140 m²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High side, north-east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32"/>
                <w:u w:val="none"/>
              </w:rPr>
              <w:t>5 · 3 · 4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Bed · bath · car</w:t>
            </w:r>
          </w:p>
        </w:tc>
        <w:tc>
          <w:tcPr>
            <w:tcW w:type="dxa" w:w="2523"/>
            <w:tcBorders>
              <w:bottom w:val="single" w:sz="8" w:space="0" w:color="12B0CE"/>
              <w:right w:val="nil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32"/>
                <w:u w:val="none"/>
              </w:rPr>
              <w:t>4 weeks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Private window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The property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961"/>
        <w:gridCol w:w="170"/>
        <w:gridCol w:w="4961"/>
      </w:tblGrid>
      <w:tr>
        <w:trPr>
          <w:cantSplit/>
          <w:trHeight w:val="2948" w:hRule="atLeast"/>
        </w:trPr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1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Principal living level, north-east aspect</w:t>
            </w:r>
          </w:p>
        </w:tc>
        <w:tc>
          <w:tcPr>
            <w:tcW w:type="dxa" w:w="170"/>
          </w:tcPr>
          <w:p/>
        </w:tc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2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Terrace and gardens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961"/>
        <w:gridCol w:w="170"/>
        <w:gridCol w:w="4961"/>
      </w:tblGrid>
      <w:tr>
        <w:trPr>
          <w:cantSplit/>
          <w:trHeight w:val="2948" w:hRule="atLeast"/>
        </w:trPr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3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Original kitchen and family room</w:t>
            </w:r>
          </w:p>
        </w:tc>
        <w:tc>
          <w:tcPr>
            <w:tcW w:type="dxa" w:w="170"/>
          </w:tcPr>
          <w:p/>
        </w:tc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4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Street approach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628" w:hRule="atLeast"/>
        </w:trPr>
        <w:tc>
          <w:tcPr>
            <w:tcW w:type="dxa" w:w="10091"/>
            <w:shd w:val="clear" w:color="auto" w:fill="EDF1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POSITION MAP  ]</w:t>
            </w:r>
          </w:p>
        </w:tc>
      </w:tr>
    </w:tbl>
    <w:p>
      <w:pPr>
        <w:keepNext w:val="0"/>
        <w:keepLines/>
        <w:pageBreakBefore w:val="0"/>
        <w:widowControl w:val="1"/>
        <w:spacing w:before="60" w:after="0" w:line="293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Alt text: Map showing the property's position within the precinct</w:t>
      </w:r>
    </w:p>
    <w:p>
      <w:pPr>
        <w:keepNext w:val="0"/>
        <w:keepLines/>
        <w:pageBreakBefore w:val="0"/>
        <w:widowControl w:val="1"/>
        <w:spacing w:before="0" w:after="0" w:line="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 xml:space="preserve">●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The property</w:t>
            </w:r>
          </w:p>
        </w:tc>
        <w:tc>
          <w:tcPr>
            <w:tcW w:type="dxa" w:w="3364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7"/>
                <w:u w:val="none"/>
              </w:rPr>
              <w:t xml:space="preserve">▲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Ferry</w:t>
            </w:r>
          </w:p>
        </w:tc>
        <w:tc>
          <w:tcPr>
            <w:tcW w:type="dxa" w:w="3364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■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Village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Terms &amp; process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7143"/>
      </w:tblGrid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1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Register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Confirm interest and complete the confidentiality undertaking.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2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Inspect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Private inspection by appointment, weekdays only.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3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Offer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Written offer with evidence of funds and settlement terms.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4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Decide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The owners will consider offers at the close of the window.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4C5B73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237" w:type="dxa"/>
              <w:left w:w="277" w:type="dxa"/>
              <w:bottom w:w="237" w:type="dxa"/>
              <w:right w:w="27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52"/>
                <w:sz w:val="15"/>
                <w:u w:val="none"/>
              </w:rPr>
              <w:t>Confidentiality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This document is provided in confidence to a named recipient. It may not be forwarded, reproduced, published or discussed with any third party, including other agents, without our written consent. The owners have not authorised a public campaign and the property is not currently for sale on the open market.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400" w:type="dxa"/>
              <w:left w:w="90" w:type="dxa"/>
              <w:bottom w:w="400" w:type="dxa"/>
              <w:right w:w="9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4"/>
                <w:sz w:val="14"/>
                <w:u w:val="none"/>
              </w:rPr>
              <w:t>PHOTO</w:t>
            </w:r>
          </w:p>
        </w:tc>
        <w:tc>
          <w:tcPr>
            <w:tcW w:type="dxa" w:w="8391"/>
            <w:tcBorders>
              <w:top w:val="single" w:sz="4" w:space="0" w:color="DCE3ED"/>
              <w:left w:val="nil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237" w:type="dxa"/>
              <w:left w:w="277" w:type="dxa"/>
              <w:bottom w:w="237" w:type="dxa"/>
              <w:right w:w="27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5"/>
                <w:u w:val="none"/>
              </w:rPr>
              <w:t>Your adviser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21"/>
                <w:u w:val="none"/>
              </w:rPr>
              <w:t>A. Nguyen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Senior Adviser   ›   Licensed agent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Handles private and pre-market transactions across the eastern harbour precincts.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Licensed real estate agent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Twenty-two years in prestige transactions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0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a.nguyen@example.com.au   ·   (02) 8000 1234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071527"/>
              <w:left w:val="single" w:sz="4" w:space="0" w:color="071527"/>
              <w:bottom w:val="single" w:sz="4" w:space="0" w:color="071527"/>
              <w:right w:val="single" w:sz="4" w:space="0" w:color="071527"/>
            </w:tcBorders>
            <w:shd w:val="clear" w:color="auto" w:fill="071527"/>
            <w:tcMar>
              <w:top w:w="320" w:type="dxa"/>
              <w:left w:w="260" w:type="dxa"/>
              <w:bottom w:w="320" w:type="dxa"/>
              <w:right w:w="260" w:type="dxa"/>
            </w:tcMar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061"/>
            </w:tblGrid>
            <w:tr>
              <w:trPr>
                <w:cantSplit/>
              </w:trPr>
              <w:tc>
                <w:tcPr>
                  <w:tcW w:type="dxa" w:w="3061"/>
                  <w:tcBorders>
                    <w:top w:val="dashed" w:sz="8" w:space="0" w:color="12B0CE"/>
                    <w:left w:val="dashed" w:sz="8" w:space="0" w:color="12B0CE"/>
                    <w:bottom w:val="dashed" w:sz="8" w:space="0" w:color="12B0CE"/>
                    <w:right w:val="dashed" w:sz="8" w:space="0" w:color="12B0CE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60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</w:pPr>
            <w:r>
              <w:rPr>
                <w:rFonts w:ascii="Georgia" w:hAnsi="Georgia" w:cs="Georgia" w:eastAsia="Georgia"/>
                <w:b/>
                <w:i w:val="0"/>
                <w:color w:val="FFFFFF"/>
                <w:sz w:val="34"/>
                <w:u w:val="none"/>
              </w:rPr>
              <w:t>Aurixa Systems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64"/>
                <w:sz w:val="15"/>
                <w:u w:val="none"/>
              </w:rPr>
              <w:t>INTELLIGENT PROPERTY &amp; FINANCE INFRASTRUCTURE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WEB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www.example.com.au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EMAIL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hello@example.com.au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PHONE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(02) 8000 1234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ADDRESS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Level 4, 100 Sample Street, Sydney NSW 2000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SOCIAL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linkedin.com/company/example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AFC0D6"/>
                <w:spacing w:val="32"/>
                <w:sz w:val="14"/>
                <w:u w:val="none"/>
              </w:rPr>
              <w:t>Aurixa Systems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  <w:jc w:val="center"/>
      </w:pPr>
      <w:r>
        <w:rPr>
          <w:rFonts w:ascii="Calibri" w:hAnsi="Calibri" w:cs="Calibri" w:eastAsia="Calibri"/>
          <w:b w:val="0"/>
          <w:i w:val="0"/>
          <w:color w:val="8493A8"/>
          <w:sz w:val="14"/>
          <w:u w:val="none"/>
        </w:rPr>
        <w:t>Example Advisory Pty Ltd   ·   ABN 12 600 123 456   ·   COMMERCIAL IN CONFIDENCE</w:t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52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APR-0418-01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v1.0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52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APR-0418-01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v1.0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52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52"/>
              <w:sz w:val="14"/>
              <w:u w:val="none"/>
            </w:rPr>
            <w:t>Off-Market Opportunity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55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Off-Market Opportunity Report</dc:title>
  <dc:subject>An editorial presentation of a single off-market or pre-market opportunity for a high-value client, built to persuade as much as to inform.</dc:subject>
  <dc:creator>Aurixa Systems</dc:creator>
  <cp:keywords>Off-market opportunity, Prestige property, Private opportunity,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