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250" w:type="dxa"/>
              <w:left w:w="200" w:type="dxa"/>
              <w:bottom w:w="12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6"/>
                <w:sz w:val="15"/>
                <w:u w:val="none"/>
              </w:rPr>
              <w:t>[  COVER IMAGE  —  1600 × 900 px minimum  ]</w:t>
            </w:r>
          </w:p>
          <w:p>
            <w:pPr>
              <w:keepNext w:val="0"/>
              <w:keepLines/>
              <w:pageBreakBefore w:val="0"/>
              <w:widowControl w:val="1"/>
              <w:spacing w:before="100" w:after="0"/>
              <w:jc w:val="center"/>
            </w:pPr>
            <w:r>
              <w:rPr>
                <w:rFonts w:ascii="Calibri" w:hAnsi="Calibri" w:cs="Calibri" w:eastAsia="Calibri"/>
                <w:b w:val="0"/>
                <w:i/>
                <w:color w:val="8493A8"/>
                <w:sz w:val="14"/>
                <w:u w:val="none"/>
              </w:rPr>
              <w:t>{{proposal.coverCaption}}</w:t>
            </w:r>
          </w:p>
        </w:tc>
      </w:tr>
    </w:tbl>
    <w:p>
      <w:pPr>
        <w:keepNext w:val="0"/>
        <w:keepLines/>
        <w:pageBreakBefore w:val="0"/>
        <w:widowControl w:val="1"/>
        <w:spacing w:before="0" w:after="0" w:line="3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855"/>
      </w:tblGrid>
      <w:tr>
        <w:trPr>
          <w:cantSplit/>
        </w:trPr>
        <w:tc>
          <w:tcPr>
            <w:tcW w:type="dxa" w:w="3855"/>
            <w:tcBorders>
              <w:top w:val="dashed" w:sz="8" w:space="0" w:color="C2CDDC"/>
              <w:left w:val="dashed" w:sz="8" w:space="0" w:color="C2CDDC"/>
              <w:bottom w:val="dashed" w:sz="8" w:space="0" w:color="C2CDDC"/>
              <w:right w:val="dashed" w:sz="8" w:space="0" w:color="C2CDDC"/>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AURIXA SYSTEMS  ]</w:t>
            </w:r>
          </w:p>
        </w:tc>
      </w:tr>
    </w:tbl>
    <w:p>
      <w:pPr>
        <w:keepNext w:val="0"/>
        <w:keepLines/>
        <w:pageBreakBefore w:val="0"/>
        <w:widowControl w:val="1"/>
        <w:spacing w:before="0" w:after="0" w:line="280" w:lineRule="exact"/>
      </w:pPr>
      <w:r>
        <w:rPr>
          <w:sz w:val="2"/>
        </w:rPr>
      </w:r>
    </w:p>
    <w:p>
      <w:pPr>
        <w:keepNext w:val="0"/>
        <w:keepLines/>
        <w:pageBreakBefore w:val="0"/>
        <w:widowControl w:val="1"/>
        <w:spacing w:before="0" w:after="160"/>
        <w:jc w:val="center"/>
      </w:pPr>
      <w:r>
        <w:rPr>
          <w:rFonts w:ascii="Calibri" w:hAnsi="Calibri" w:cs="Calibri" w:eastAsia="Calibri"/>
          <w:b/>
          <w:i w:val="0"/>
          <w:caps w:val="1"/>
          <w:color w:val="12B0CE"/>
          <w:spacing w:val="92"/>
          <w:sz w:val="16"/>
          <w:u w:val="none"/>
        </w:rPr>
        <w:t>Partnership proposal</w:t>
      </w:r>
    </w:p>
    <w:p>
      <w:pPr>
        <w:keepNext/>
        <w:keepLines/>
        <w:pageBreakBefore w:val="0"/>
        <w:widowControl w:val="1"/>
        <w:spacing w:before="0" w:after="200" w:line="245" w:lineRule="auto"/>
        <w:jc w:val="center"/>
      </w:pPr>
      <w:r>
        <w:rPr>
          <w:rFonts w:ascii="Georgia" w:hAnsi="Georgia" w:cs="Georgia" w:eastAsia="Georgia"/>
          <w:b w:val="0"/>
          <w:i w:val="0"/>
          <w:color w:val="071527"/>
          <w:spacing w:val="12"/>
          <w:sz w:val="64"/>
          <w:u w:val="none"/>
        </w:rPr>
        <w:t>{{proposal.title}}</w:t>
      </w:r>
    </w:p>
    <w:p>
      <w:pPr>
        <w:keepNext w:val="0"/>
        <w:keepLines/>
        <w:pageBreakBefore w:val="0"/>
        <w:widowControl w:val="1"/>
        <w:pBdr>
          <w:bottom w:val="single" w:sz="8" w:space="1" w:color="12B0CE"/>
        </w:pBdr>
        <w:spacing w:before="0" w:after="200" w:line="20" w:lineRule="exact"/>
      </w:pPr>
      <w:r>
        <w:rPr>
          <w:sz w:val="2"/>
        </w:rPr>
      </w:r>
    </w:p>
    <w:p>
      <w:pPr>
        <w:keepNext w:val="0"/>
        <w:keepLines/>
        <w:pageBreakBefore w:val="0"/>
        <w:widowControl w:val="1"/>
        <w:spacing w:before="0" w:after="0" w:line="360" w:lineRule="auto"/>
        <w:jc w:val="center"/>
      </w:pPr>
      <w:r>
        <w:rPr>
          <w:rFonts w:ascii="Calibri" w:hAnsi="Calibri" w:cs="Calibri" w:eastAsia="Calibri"/>
          <w:b w:val="0"/>
          <w:i w:val="0"/>
          <w:color w:val="4C5B73"/>
          <w:sz w:val="22"/>
          <w:u w:val="none"/>
        </w:rPr>
        <w:t>{{proposal.subtitle}}</w:t>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592"/>
        <w:gridCol w:w="907"/>
        <w:gridCol w:w="4592"/>
      </w:tblGrid>
      <w:tr>
        <w:trPr>
          <w:cantSplit/>
        </w:trPr>
        <w:tc>
          <w:tcPr>
            <w:tcW w:type="dxa" w:w="4592"/>
            <w:tcBorders>
              <w:top w:val="dashed" w:sz="8" w:space="0" w:color="C2CDDC"/>
              <w:left w:val="dashed" w:sz="8" w:space="0" w:color="C2CDDC"/>
              <w:bottom w:val="dashed" w:sz="8" w:space="0" w:color="C2CDDC"/>
              <w:right w:val="dashed" w:sz="8" w:space="0" w:color="C2CDDC"/>
            </w:tcBorders>
            <w:tcMar>
              <w:top w:w="240" w:type="dxa"/>
              <w:left w:w="140" w:type="dxa"/>
              <w:bottom w:w="240" w:type="dxa"/>
              <w:right w:w="140" w:type="dxa"/>
            </w:tcMar>
            <w:vAlign w:val="cente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AURIXA SYSTEMS  ]</w:t>
            </w:r>
          </w:p>
        </w:tc>
        <w:tc>
          <w:tcPr>
            <w:tcW w:type="dxa" w:w="907"/>
            <w:vAlign w:val="center"/>
          </w:tcPr>
          <w:p>
            <w:pPr>
              <w:keepNext w:val="0"/>
              <w:keepLines/>
              <w:pageBreakBefore w:val="0"/>
              <w:widowControl w:val="1"/>
              <w:spacing w:before="0" w:after="0"/>
              <w:jc w:val="center"/>
            </w:pPr>
            <w:r>
              <w:rPr>
                <w:rFonts w:ascii="Calibri" w:hAnsi="Calibri" w:cs="Calibri" w:eastAsia="Calibri"/>
                <w:b/>
                <w:i w:val="0"/>
                <w:color w:val="12B0CE"/>
                <w:sz w:val="23"/>
                <w:u w:val="none"/>
              </w:rPr>
              <w:t>+</w:t>
            </w:r>
          </w:p>
        </w:tc>
        <w:tc>
          <w:tcPr>
            <w:tcW w:type="dxa" w:w="4592"/>
            <w:tcBorders>
              <w:top w:val="dashed" w:sz="8" w:space="0" w:color="C2CDDC"/>
              <w:left w:val="dashed" w:sz="8" w:space="0" w:color="C2CDDC"/>
              <w:bottom w:val="dashed" w:sz="8" w:space="0" w:color="C2CDDC"/>
              <w:right w:val="dashed" w:sz="8" w:space="0" w:color="C2CDDC"/>
            </w:tcBorders>
            <w:tcMar>
              <w:top w:w="240" w:type="dxa"/>
              <w:left w:w="140" w:type="dxa"/>
              <w:bottom w:w="240" w:type="dxa"/>
              <w:right w:w="140" w:type="dxa"/>
            </w:tcMar>
            <w:vAlign w:val="cente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PARTNER LOGO  ]</w:t>
            </w:r>
          </w:p>
        </w:tc>
      </w:tr>
    </w:tbl>
    <w:p>
      <w:pPr>
        <w:keepNext w:val="0"/>
        <w:keepLines/>
        <w:pageBreakBefore w:val="0"/>
        <w:widowControl w:val="1"/>
        <w:spacing w:before="0" w:after="0" w:line="21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Proposed to</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{{partner.name}}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Proposed by</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{{org.name}}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Contact</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Valid until</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{{proposal.validity}}</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Status</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{{proposal.status}}</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The opportunity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2B0CE"/>
              <w:bottom w:val="single" w:sz="6" w:space="0" w:color="DCE3ED"/>
              <w:right w:val="single" w:sz="6" w:space="0" w:color="DCE3ED"/>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2B0CE"/>
                <w:spacing w:val="52"/>
                <w:sz w:val="15"/>
                <w:u w:val="none"/>
              </w:rPr>
              <w:t>The opportunity</w:t>
            </w:r>
          </w:p>
          <w:p>
            <w:pPr>
              <w:keepNext/>
              <w:keepLines/>
              <w:pageBreakBefore w:val="0"/>
              <w:widowControl w:val="1"/>
              <w:spacing w:before="0" w:after="120" w:line="293" w:lineRule="auto"/>
            </w:pPr>
            <w:r>
              <w:rPr>
                <w:rFonts w:ascii="Georgia" w:hAnsi="Georgia" w:cs="Georgia" w:eastAsia="Georgia"/>
                <w:b/>
                <w:i w:val="0"/>
                <w:color w:val="071527"/>
                <w:sz w:val="23"/>
                <w:u w:val="none"/>
              </w:rPr>
              <w:t>{{proposal.headline}}</w:t>
            </w:r>
          </w:p>
          <w:p>
            <w:pPr>
              <w:keepNext w:val="0"/>
              <w:keepLines/>
              <w:pageBreakBefore w:val="0"/>
              <w:widowControl w:val="1"/>
              <w:spacing w:before="0" w:after="0" w:line="355" w:lineRule="auto"/>
            </w:pPr>
            <w:r>
              <w:rPr>
                <w:rFonts w:ascii="Calibri" w:hAnsi="Calibri" w:cs="Calibri" w:eastAsia="Calibri"/>
                <w:b w:val="0"/>
                <w:i w:val="0"/>
                <w:color w:val="10192A"/>
                <w:sz w:val="19"/>
                <w:u w:val="none"/>
              </w:rPr>
              <w:t>{{proposal.opportunity}}</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What this means</w:t>
            </w:r>
          </w:p>
          <w:p>
            <w:pPr>
              <w:keepNext w:val="0"/>
              <w:keepLines/>
              <w:pageBreakBefore w:val="0"/>
              <w:widowControl w:val="1"/>
              <w:spacing w:before="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{{proposal.takeaways[0]}}</w:t>
            </w:r>
          </w:p>
          <w:p>
            <w:pPr>
              <w:keepNext w:val="0"/>
              <w:keepLines/>
              <w:pageBreakBefore w:val="0"/>
              <w:widowControl w:val="1"/>
              <w:spacing w:before="8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{{proposal.takeaways[1]}}</w:t>
            </w:r>
          </w:p>
          <w:p>
            <w:pPr>
              <w:keepNext w:val="0"/>
              <w:keepLines/>
              <w:pageBreakBefore w:val="0"/>
              <w:widowControl w:val="1"/>
              <w:spacing w:before="8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{{proposal.takeaways[2]}}</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237" w:type="dxa"/>
              <w:left w:w="277" w:type="dxa"/>
              <w:bottom w:w="237" w:type="dxa"/>
              <w:right w:w="277" w:type="dxa"/>
            </w:tcMar>
          </w:tcPr>
          <w:p>
            <w:pPr>
              <w:keepNext/>
              <w:keepLines/>
              <w:pageBreakBefore w:val="0"/>
              <w:widowControl w:val="1"/>
              <w:spacing w:before="0" w:after="100"/>
            </w:pPr>
            <w:r>
              <w:rPr>
                <w:rFonts w:ascii="Calibri" w:hAnsi="Calibri" w:cs="Calibri" w:eastAsia="Calibri"/>
                <w:b/>
                <w:i w:val="0"/>
                <w:caps w:val="1"/>
                <w:color w:val="12B0CE"/>
                <w:spacing w:val="52"/>
                <w:sz w:val="15"/>
                <w:u w:val="none"/>
              </w:rPr>
              <w:t>PROPOSED STRUCTURE</w:t>
            </w:r>
          </w:p>
          <w:p>
            <w:pPr>
              <w:keepNext w:val="0"/>
              <w:keepLines/>
              <w:pageBreakBefore w:val="0"/>
              <w:widowControl w:val="1"/>
              <w:spacing w:before="0" w:after="120" w:line="298" w:lineRule="auto"/>
            </w:pPr>
            <w:r>
              <w:rPr>
                <w:rFonts w:ascii="Georgia" w:hAnsi="Georgia" w:cs="Georgia" w:eastAsia="Georgia"/>
                <w:b/>
                <w:i w:val="0"/>
                <w:color w:val="071527"/>
                <w:sz w:val="22"/>
                <w:u w:val="none"/>
              </w:rPr>
              <w:t>{{proposal.structure}}</w:t>
            </w:r>
          </w:p>
          <w:p>
            <w:pPr>
              <w:keepNext w:val="0"/>
              <w:keepLines/>
              <w:pageBreakBefore w:val="0"/>
              <w:widowControl w:val="1"/>
              <w:spacing w:before="0" w:after="0" w:line="355" w:lineRule="auto"/>
            </w:pPr>
            <w:r>
              <w:rPr>
                <w:rFonts w:ascii="Calibri" w:hAnsi="Calibri" w:cs="Calibri" w:eastAsia="Calibri"/>
                <w:b w:val="0"/>
                <w:i w:val="0"/>
                <w:color w:val="10192A"/>
                <w:sz w:val="17"/>
                <w:u w:val="none"/>
              </w:rPr>
              <w:t>{{proposal.structureRationale}}</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Next steps</w:t>
            </w:r>
          </w:p>
          <w:p>
            <w:pPr>
              <w:keepNext w:val="0"/>
              <w:keepLines/>
              <w:pageBreakBefore w:val="0"/>
              <w:widowControl w:val="1"/>
              <w:tabs>
                <w:tab w:val="left" w:pos="320"/>
              </w:tabs>
              <w:spacing w:before="0" w:after="0" w:line="355"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{{proposal.structureActions[0]}}</w:t>
            </w:r>
          </w:p>
          <w:p>
            <w:pPr>
              <w:keepNext w:val="0"/>
              <w:keepLines/>
              <w:pageBreakBefore w:val="0"/>
              <w:widowControl w:val="1"/>
              <w:tabs>
                <w:tab w:val="left" w:pos="320"/>
              </w:tabs>
              <w:spacing w:before="80" w:after="0" w:line="355"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{{proposal.structureActions[1]}}</w:t>
            </w:r>
          </w:p>
          <w:p>
            <w:pPr>
              <w:keepNext w:val="0"/>
              <w:keepLines/>
              <w:pageBreakBefore w:val="0"/>
              <w:widowControl w:val="1"/>
              <w:tabs>
                <w:tab w:val="left" w:pos="320"/>
              </w:tabs>
              <w:spacing w:before="80" w:after="0" w:line="355"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{{proposal.structureActions[2]}}</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What each party brings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Contribution and benefit, by party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ibution and benefit, by party"/>
        <w:tblDescription w:val="Compares: {{org.shortName}}, {{partner.shortName}}"/>
      </w:tblPr>
      <w:tblGrid>
        <w:gridCol w:w="2624"/>
        <w:gridCol w:w="3734"/>
        <w:gridCol w:w="3734"/>
      </w:tblGrid>
      <w:tr>
        <w:trPr>
          <w:cantSplit/>
          <w:trHeight w:val="510" w:hRule="atLeast"/>
          <w:tblHeader/>
        </w:trPr>
        <w:tc>
          <w:tcPr>
            <w:tcW w:type="dxa" w:w="2624"/>
            <w:tcBorders>
              <w:top w:val="nil"/>
              <w:left w:val="nil"/>
              <w:bottom w:val="single" w:sz="8" w:space="0" w:color="12B0CE"/>
              <w:right w:val="single" w:sz="16" w:space="0" w:color="FFFFFF"/>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pPr>
          </w:p>
        </w:tc>
        <w:tc>
          <w:tcPr>
            <w:tcW w:type="dxa" w:w="3734"/>
            <w:tcBorders>
              <w:top w:val="nil"/>
              <w:left w:val="nil"/>
              <w:bottom w:val="single" w:sz="8" w:space="0" w:color="12B0CE"/>
              <w:right w:val="single" w:sz="16" w:space="0" w:color="FFFFFF"/>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{{org.shortName}}</w:t>
            </w:r>
          </w:p>
        </w:tc>
        <w:tc>
          <w:tcPr>
            <w:tcW w:type="dxa" w:w="3734"/>
            <w:tcBorders>
              <w:top w:val="nil"/>
              <w:left w:val="nil"/>
              <w:bottom w:val="single" w:sz="8" w:space="0" w:color="12B0CE"/>
              <w:right w:val="nil"/>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{{partner.shortName}}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Core service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Buyer advocacy and acquisition</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Mortgage and lending advice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Client moment</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Ready to buy; brief not yet defined</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Ready to borrow; property not yet identified</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client volume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214 acquisitions</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{{partner.volume}}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What we introduce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Clients who need finance structured before they bid</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Clients who need a property found and negotiated</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Estimated introductions p.a.</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70 – 90</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{{partner.estimate}}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What the client gains</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Finance in place before the first offer</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 brief, a shortlist and a negotiator</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Licensing</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Licensed real estate agent</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Australian Credit Licence / credit representative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Relationship owner</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{{author.name}}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{{partner.contact.name}}</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554AE"/>
                <w:spacing w:val="52"/>
                <w:sz w:val="15"/>
                <w:u w:val="none"/>
              </w:rPr>
              <w:t>What this is not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Being explicit about the boundaries at proposal stage saves a difficult conversation later.</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{{proposal.notThis[0]}}</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{{proposal.notThis[1]}}</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{{proposal.notThis[2]}}</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{{proposal.notThis[3]}}</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Client journey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How a shared client moves between the parties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1</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2</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3</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4</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5</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6</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4C5B73"/>
                <w:spacing w:val="52"/>
                <w:sz w:val="15"/>
                <w:u w:val="none"/>
              </w:rPr>
              <w:t>Client consent comes first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No client detail passes between the parties until the client has been told who they are being introduced to, that a fee is payable, and how much. Consent is recorded in writing and is retained by the referring party.</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Commercial terms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Proposed commercial terms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roposed commercial terms"/>
        <w:tblDescription w:val="Columns: Item, Basis, Amount, Trigger, Payable"/>
      </w:tblPr>
      <w:tblGrid>
        <w:gridCol w:w="2154"/>
        <w:gridCol w:w="2494"/>
        <w:gridCol w:w="1361"/>
        <w:gridCol w:w="2154"/>
        <w:gridCol w:w="1928"/>
      </w:tblGrid>
      <w:tr>
        <w:trPr>
          <w:cantSplit/>
          <w:trHeight w:val="420" w:hRule="atLeast"/>
          <w:tblHeader/>
        </w:trPr>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49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36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Trigger</w:t>
            </w:r>
          </w:p>
        </w:tc>
        <w:tc>
          <w:tcPr>
            <w:tcW w:type="dxa" w:w="1928"/>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{{term.item}}</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{{term.basis}}</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{{term.amount}}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{{term.trigger}}</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{{term.item}}</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{{term.basis}}</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{{term.amount}}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{{term.trigger}}</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{{term.item}}</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{{term.basis}}</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{{term.amount}}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{{term.trigger}}</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{{term.item}}</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{{term.basis}}</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{{term.amount}}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{{term.trigger}}</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{{term.item}}</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{{term.basis}}</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{{term.amount}}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{{term.trigger}}</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{{term.payable}}</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All amounts are exclusive of GST. Fees are disclosed to the client before the introduction is made and are payable only where the client proceeds. No fee is payable on a referral that does not convert.</w:t>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Illustrative value, first full year — referrals are per annum</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llustrative value, first full year — referrals are per annum"/>
        <w:tblDescription w:val="Columns: Scenario, Referrals, Conversion, Avg fee, To you"/>
      </w:tblPr>
      <w:tblGrid>
        <w:gridCol w:w="2154"/>
        <w:gridCol w:w="1814"/>
        <w:gridCol w:w="1701"/>
        <w:gridCol w:w="1814"/>
        <w:gridCol w:w="2608"/>
      </w:tblGrid>
      <w:tr>
        <w:trPr>
          <w:cantSplit/>
          <w:trHeight w:val="420" w:hRule="atLeast"/>
          <w:tblHeader/>
        </w:trPr>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Scenario</w:t>
            </w:r>
          </w:p>
        </w:tc>
        <w:tc>
          <w:tcPr>
            <w:tcW w:type="dxa" w:w="181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Referrals</w:t>
            </w:r>
          </w:p>
        </w:tc>
        <w:tc>
          <w:tcPr>
            <w:tcW w:type="dxa" w:w="170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Conversion</w:t>
            </w:r>
          </w:p>
        </w:tc>
        <w:tc>
          <w:tcPr>
            <w:tcW w:type="dxa" w:w="181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Avg fee</w:t>
            </w:r>
          </w:p>
        </w:tc>
        <w:tc>
          <w:tcPr>
            <w:tcW w:type="dxa" w:w="2608"/>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To you</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{{scenario}}</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{{referrals}}</w:t>
            </w:r>
          </w:p>
        </w:tc>
        <w:tc>
          <w:tcPr>
            <w:tcW w:type="dxa" w:w="17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{{conversion}}</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{{fee}}</w:t>
            </w:r>
          </w:p>
        </w:tc>
        <w:tc>
          <w:tcPr>
            <w:tcW w:type="dxa" w:w="260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{{value}}</w:t>
            </w:r>
          </w:p>
        </w:tc>
      </w:tr>
      <w:tr>
        <w:trPr>
          <w:cantSplit/>
          <w:trHeight w:val="397" w:hRule="atLeast"/>
        </w:trPr>
        <w:tc>
          <w:tcPr>
            <w:tcW w:type="dxa" w:w="215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i/>
                <w:color w:val="8493A8"/>
                <w:sz w:val="17"/>
                <w:u w:val="none"/>
              </w:rPr>
              <w:t>{{scenario}}</w:t>
            </w:r>
          </w:p>
        </w:tc>
        <w:tc>
          <w:tcPr>
            <w:tcW w:type="dxa" w:w="181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{{referrals}}</w:t>
            </w:r>
          </w:p>
        </w:tc>
        <w:tc>
          <w:tcPr>
            <w:tcW w:type="dxa" w:w="1701"/>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{{conversion}}</w:t>
            </w:r>
          </w:p>
        </w:tc>
        <w:tc>
          <w:tcPr>
            <w:tcW w:type="dxa" w:w="181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{{fee}}</w:t>
            </w:r>
          </w:p>
        </w:tc>
        <w:tc>
          <w:tcPr>
            <w:tcW w:type="dxa" w:w="2608"/>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{{value}}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{{scenario}}</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{{referrals}}</w:t>
            </w:r>
          </w:p>
        </w:tc>
        <w:tc>
          <w:tcPr>
            <w:tcW w:type="dxa" w:w="17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{{conversion}}</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{{fee}}</w:t>
            </w:r>
          </w:p>
        </w:tc>
        <w:tc>
          <w:tcPr>
            <w:tcW w:type="dxa" w:w="260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{{value}}</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Illustrative only. Based on our own referral volumes and conversion rates over the last twelve months; your results will differ.</w:t>
      </w:r>
    </w:p>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Governance &amp; boundaries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554AE"/>
                <w:spacing w:val="52"/>
                <w:sz w:val="15"/>
                <w:u w:val="none"/>
              </w:rPr>
              <w:t>How the relationship is governed</w:t>
            </w:r>
          </w:p>
          <w:p>
            <w:pPr>
              <w:keepNext w:val="0"/>
              <w:keepLines/>
              <w:pageBreakBefore w:val="0"/>
              <w:widowControl w:val="1"/>
              <w:spacing w:before="0" w:after="0" w:line="355" w:lineRule="auto"/>
            </w:pPr>
            <w:r>
              <w:rPr>
                <w:rFonts w:ascii="Calibri" w:hAnsi="Calibri" w:cs="Calibri" w:eastAsia="Calibri"/>
                <w:b w:val="0"/>
                <w:i w:val="0"/>
                <w:color w:val="10192A"/>
                <w:sz w:val="17"/>
                <w:u w:val="none"/>
              </w:rPr>
              <w:t>{{proposal.governance}}</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{{proposal.governanceItems[0]}}</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{{proposal.governanceItems[1]}}</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{{proposal.governanceItems[2]}}</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{{proposal.governanceItems[3]}}</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{{proposal.governanceItems[4]}}</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{{proposal.governanceItems[5]}}</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 owner — us</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 owner — you</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{{partner.contact.name}}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Review cadence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{{proposal.reviewCadence}}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Notice period</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{{proposal.noticePeriod}}</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Measures reviewed</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{{proposal.measures}}</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Agreement form</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{{proposal.agreementForm}}</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Activation plan</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From agreement to first referral</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bl>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Next steps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{{nextSteps[0]}}</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{{nextSteps[1]}}</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{{nextSteps[2]}}</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{{nextSteps[3]}}</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{{nextSteps[4]}}</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Response requested by</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{{proposal.responseBy}}</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Contact</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Direct line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{{author.phone}}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Email</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{{author.email}}</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Terms</w:t>
      </w:r>
    </w:p>
    <w:p>
      <w:pPr>
        <w:keepNext/>
        <w:keepLines/>
        <w:pageBreakBefore w:val="0"/>
        <w:widowControl w:val="1"/>
        <w:spacing w:before="0" w:after="100"/>
      </w:pPr>
      <w:r>
        <w:rPr>
          <w:rFonts w:ascii="Calibri" w:hAnsi="Calibri" w:cs="Calibri" w:eastAsia="Calibri"/>
          <w:b/>
          <w:i w:val="0"/>
          <w:caps w:val="1"/>
          <w:color w:val="4C5B73"/>
          <w:spacing w:val="52"/>
          <w:sz w:val="15"/>
          <w:u w:val="none"/>
        </w:rPr>
        <w:t>Status of this proposal, validity and confidentiality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Disclaimer</w:t>
      </w:r>
    </w:p>
    <w:p>
      <w:pPr>
        <w:keepNext w:val="0"/>
        <w:keepLines/>
        <w:pageBreakBefore w:val="0"/>
        <w:widowControl w:val="1"/>
        <w:spacing w:before="0" w:after="0" w:line="355" w:lineRule="auto"/>
      </w:pPr>
      <w:r>
        <w:rPr>
          <w:rFonts w:ascii="Calibri" w:hAnsi="Calibri" w:cs="Calibri" w:eastAsia="Calibri"/>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Privacy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Terms of use</w:t>
      </w:r>
    </w:p>
    <w:p>
      <w:pPr>
        <w:keepNext w:val="0"/>
        <w:keepLines/>
        <w:pageBreakBefore w:val="0"/>
        <w:widowControl w:val="1"/>
        <w:spacing w:before="0" w:after="0" w:line="355" w:lineRule="auto"/>
      </w:pPr>
      <w:r>
        <w:rPr>
          <w:rFonts w:ascii="Calibri" w:hAnsi="Calibri" w:cs="Calibri" w:eastAsia="Calibri"/>
          <w:b w:val="0"/>
          <w:i w:val="0"/>
          <w:color w:val="4C5B73"/>
          <w:sz w:val="17"/>
          <w:u w:val="none"/>
        </w:rPr>
        <w:t>{{legal.terms}}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Status of this proposal</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is a proposal for discussion. It is not an offer capable of acceptance and does not create any binding obligation on either party. Any arrangement between the parties takes effect only under a written referral agreement executed by both.</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Validity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The terms set out in this proposal are open for 30 days from the date shown on the cover. Illustrative figures are based on the proposing party's own historical volumes and conversion rates and are not a forecast, a projection or a guarantee of any result.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Confidentiality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proposal, including the commercial terms, is provided in confidence for the named recipient's evaluation. It may be shared within the recipient's organisation for that purpose and may not be disclosed further without written consent.</w:t>
      </w:r>
    </w:p>
    <w:p>
      <w:pPr>
        <w:keepNext w:val="0"/>
        <w:keepLines/>
        <w:pageBreakBefore w:val="0"/>
        <w:widowControl w:val="1"/>
        <w:spacing w:before="0" w:after="0" w:line="100" w:lineRule="exact"/>
      </w:pPr>
      <w:r>
        <w:rPr>
          <w:sz w:val="2"/>
        </w:rPr>
      </w:r>
    </w:p>
    <w:p>
      <w:pPr>
        <w:keepNext w:val="0"/>
        <w:keepLines/>
        <w:pageBreakBefore w:val="0"/>
        <w:widowControl w:val="1"/>
        <w:spacing w:before="0" w:after="0"/>
      </w:pPr>
      <w:r>
        <w:br w:type="page"/>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71527"/>
              <w:left w:val="single" w:sz="4" w:space="0" w:color="071527"/>
              <w:bottom w:val="single" w:sz="4" w:space="0" w:color="071527"/>
              <w:right w:val="single" w:sz="4" w:space="0" w:color="071527"/>
            </w:tcBorders>
            <w:shd w:val="clear" w:color="auto" w:fill="071527"/>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6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Georgia" w:hAnsi="Georgia" w:cs="Georgia" w:eastAsia="Georgia"/>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2B0CE"/>
                <w:spacing w:val="64"/>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WEB   </w:t>
            </w:r>
            <w:r>
              <w:rPr>
                <w:rFonts w:ascii="Calibri" w:hAnsi="Calibri" w:cs="Calibri" w:eastAsia="Calibri"/>
                <w:b w:val="0"/>
                <w:i w:val="0"/>
                <w:color w:val="AFC0D6"/>
                <w:sz w:val="17"/>
                <w:u w:val="none"/>
              </w:rPr>
              <w:t>{{org.website}}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EMAIL   </w:t>
            </w:r>
            <w:r>
              <w:rPr>
                <w:rFonts w:ascii="Calibri" w:hAnsi="Calibri" w:cs="Calibri" w:eastAsia="Calibri"/>
                <w:b w:val="0"/>
                <w:i w:val="0"/>
                <w:color w:val="AFC0D6"/>
                <w:sz w:val="17"/>
                <w:u w:val="none"/>
              </w:rPr>
              <w:t>{{org.email}}</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PHONE   </w:t>
            </w:r>
            <w:r>
              <w:rPr>
                <w:rFonts w:ascii="Calibri" w:hAnsi="Calibri" w:cs="Calibri" w:eastAsia="Calibri"/>
                <w:b w:val="0"/>
                <w:i w:val="0"/>
                <w:color w:val="AFC0D6"/>
                <w:sz w:val="17"/>
                <w:u w:val="none"/>
              </w:rPr>
              <w:t>{{org.phone}}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ADDRESS   </w:t>
            </w:r>
            <w:r>
              <w:rPr>
                <w:rFonts w:ascii="Calibri" w:hAnsi="Calibri" w:cs="Calibri" w:eastAsia="Calibri"/>
                <w:b w:val="0"/>
                <w:i w:val="0"/>
                <w:color w:val="AFC0D6"/>
                <w:sz w:val="17"/>
                <w:u w:val="none"/>
              </w:rPr>
              <w:t>{{org.address}}</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SOCIAL   </w:t>
            </w:r>
            <w:r>
              <w:rPr>
                <w:rFonts w:ascii="Calibri" w:hAnsi="Calibri" w:cs="Calibri" w:eastAsia="Calibri"/>
                <w:b w:val="0"/>
                <w:i w:val="0"/>
                <w:color w:val="AFC0D6"/>
                <w:sz w:val="17"/>
                <w:u w:val="none"/>
              </w:rPr>
              <w:t>{{org.socials}}</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Aurixa Systems Pty Ltd   ·   ABN {{org.abn}}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5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52"/>
              <w:sz w:val="14"/>
              <w:u w:val="none"/>
            </w:rPr>
            <w:t>Partnership Proposal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55"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Proposal</dc:title>
  <dc:subject>A proposal to another business: the opportunity, the proposed structure, the commercial terms, and the activation plan.</dc:subject>
  <dc:creator>Aurixa Systems</dc:creator>
  <cp:keywords>Partnership, Channel proposal, Referral partnership, Business &amp; Advisory,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