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037"/>
        <w:gridCol w:w="6055"/>
      </w:tblGrid>
      <w:tr>
        <w:trPr>
          <w:cantSplit/>
          <w:trHeight w:val="8504" w:hRule="atLeast"/>
        </w:trPr>
        <w:tc>
          <w:tcPr>
            <w:tcW w:type="dxa" w:w="4037"/>
            <w:shd w:val="clear" w:color="auto" w:fill="0C2340"/>
            <w:tcMar>
              <w:top w:w="340" w:type="dxa"/>
              <w:left w:w="240" w:type="dxa"/>
              <w:bottom w:w="340" w:type="dxa"/>
              <w:right w:w="240" w:type="dxa"/>
            </w:tcMar>
            <w:vAlign w:val="top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76"/>
            </w:tblGrid>
            <w:tr>
              <w:trPr>
                <w:cantSplit/>
              </w:trPr>
              <w:tc>
                <w:tcPr>
                  <w:tcW w:type="dxa" w:w="2676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8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40"/>
                <w:sz w:val="15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4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4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FOR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{{client.name}}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BY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ISSUED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{{document.issueDate}}</w:t>
            </w:r>
          </w:p>
        </w:tc>
        <w:tc>
          <w:tcPr>
            <w:tcW w:type="dxa" w:w="6055"/>
            <w:shd w:val="clear" w:color="auto" w:fill="FFFFFF"/>
            <w:tcMar>
              <w:top w:w="340" w:type="dxa"/>
              <w:left w:w="260" w:type="dxa"/>
              <w:bottom w:w="34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0"/>
                <w:sz w:val="16"/>
                <w:u w:val="none"/>
              </w:rPr>
              <w:t>Annual portfolio review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40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pacing w:val="2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pBdr>
                <w:bottom w:val="single" w:sz="12" w:space="1" w:color="1D6FE0"/>
              </w:pBdr>
              <w:spacing w:before="0" w:after="160" w:line="2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517"/>
              <w:gridCol w:w="2517"/>
            </w:tblGrid>
            <w:tr>
              <w:trPr>
                <w:cantSplit/>
              </w:trPr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4 ASSETS</w:t>
                  </w:r>
                </w:p>
              </w:tc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Portfolio position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Performance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Asset register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Debt profile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Cash-flow position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Opportunities &amp; risks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Recommended actions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01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Portfolio position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Where you stand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TOTAL VALUE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TOTAL DEBT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NET EQUITY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PORTFOLIO YIELD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{{portfolio.value}}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4 assets, Jun 2026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{{portfolio.debt}}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Across 5 facilities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{{portfolio.equity}}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42.0% of value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{{portfolio.yield}}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Gross, weighted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02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Executive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The year in review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6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03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Performance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Value and equity over the period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18"/>
                <w:u w:val="none"/>
              </w:rPr>
              <w:t>Portfolio value and equity, five years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AREA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{{portfolio.history}}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Value, debt and net equity   ·   Source: Aurixa portfolio model   ·   Alt text: Portfolio value rose from $3.68m to $4.91m over five years while debt stayed broadly flat, so equity more than doubled</w:t>
      </w:r>
    </w:p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12-month value movement by asset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{{asset.movement}}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{{asset.movement}}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{{asset.movement}}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{{asset.movement}}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21 Test Road has now underperformed the portfolio average in each of the last two years.</w:t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04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Asset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Every asset, every measure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Asset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sset register"/>
        <w:tblDescription w:val="Columns: Asset, Acquired, Cost, Value, Debt, LVR, Rent p.a., Net p.a."/>
      </w:tblPr>
      <w:tblGrid>
        <w:gridCol w:w="1695"/>
        <w:gridCol w:w="1130"/>
        <w:gridCol w:w="1292"/>
        <w:gridCol w:w="1372"/>
        <w:gridCol w:w="1292"/>
        <w:gridCol w:w="888"/>
        <w:gridCol w:w="1211"/>
        <w:gridCol w:w="1211"/>
      </w:tblGrid>
      <w:tr>
        <w:trPr>
          <w:cantSplit/>
          <w:trHeight w:val="420" w:hRule="atLeast"/>
          <w:tblHeader/>
        </w:trPr>
        <w:tc>
          <w:tcPr>
            <w:tcW w:type="dxa" w:w="16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Asset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Acquired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Cost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Debt</w:t>
            </w:r>
          </w:p>
        </w:tc>
        <w:tc>
          <w:tcPr>
            <w:tcW w:type="dxa" w:w="8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LVR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Rent p.a.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Net p.a.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{{acquired}}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8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{{acquired}}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8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{{acquired}}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8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{{acquired}}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8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Portfolio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2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$3,727,000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$4,912,000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$2,847,000</w:t>
            </w:r>
          </w:p>
        </w:tc>
        <w:tc>
          <w:tcPr>
            <w:tcW w:type="dxa" w:w="8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58.0%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$161,200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-$22,050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21 Test Road's LVR exceeds 100% because the facility was drawn to fund acquisition costs and the asset has appreciated only 1.6% since purchase.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05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Debt profile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Facilities, rates and expiries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Debt profile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ebt profile"/>
        <w:tblDescription w:val="Columns: Facility, Security, Limit, Balance, Rate, Type, Expiry"/>
      </w:tblPr>
      <w:tblGrid>
        <w:gridCol w:w="989"/>
        <w:gridCol w:w="2177"/>
        <w:gridCol w:w="1484"/>
        <w:gridCol w:w="1484"/>
        <w:gridCol w:w="1088"/>
        <w:gridCol w:w="1583"/>
        <w:gridCol w:w="1286"/>
      </w:tblGrid>
      <w:tr>
        <w:trPr>
          <w:cantSplit/>
          <w:trHeight w:val="420" w:hRule="atLeast"/>
          <w:tblHeader/>
        </w:trPr>
        <w:tc>
          <w:tcPr>
            <w:tcW w:type="dxa" w:w="9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Facility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Security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Balance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Type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Expiry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1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Portfolio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$2,875,000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$2,847,000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6.28%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28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F4 reverts from interest only to principal and interest in March 2027, which will increase repayments by approximately $1,840 per month.</w:t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06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Cash-flow position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Consolidated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Consolidated cash flow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nsolidated cash flow"/>
        <w:tblDescription w:val="Columns: Item, FY2025, FY2026, Movement"/>
      </w:tblPr>
      <w:tblGrid>
        <w:gridCol w:w="4037"/>
        <w:gridCol w:w="2018"/>
        <w:gridCol w:w="2018"/>
        <w:gridCol w:w="2018"/>
      </w:tblGrid>
      <w:tr>
        <w:trPr>
          <w:cantSplit/>
          <w:trHeight w:val="420" w:hRule="atLeast"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FY2025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FY2026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After-tax position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-$3,650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-$22,050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-$18,400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07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Opportunities &amp; risks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to act 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6"/>
          <w:sz w:val="15"/>
          <w:u w:val="none"/>
        </w:rPr>
        <w:t>Opportunities &amp; risks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pportunities &amp; risk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08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Recommended actions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For the coming year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Actions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{{portfolio.actions[0]}}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{{portfolio.actions[1]}}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{{portfolio.actions[2]}}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{{portfolio.actions[3]}}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{{portfolio.actions[4]}}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Reviewed with the 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For the organisation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Portfolio Review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41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Review Report</dc:title>
  <dc:subject>Periodic review of a client's whole property portfolio: performance, equity, debt, cash flow and recommended actions per asset.</dc:subject>
  <dc:creator>Aurixa Systems</dc:creator>
  <cp:keywords>Portfolio review, Annual review, Asset review,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