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037"/>
        <w:gridCol w:w="6055"/>
      </w:tblGrid>
      <w:tr>
        <w:trPr>
          <w:cantSplit/>
          <w:trHeight w:val="8504" w:hRule="atLeast"/>
        </w:trPr>
        <w:tc>
          <w:tcPr>
            <w:tcW w:type="dxa" w:w="4037"/>
            <w:shd w:val="clear" w:color="auto" w:fill="0C2340"/>
            <w:tcMar>
              <w:top w:w="340" w:type="dxa"/>
              <w:left w:w="240" w:type="dxa"/>
              <w:bottom w:w="340" w:type="dxa"/>
              <w:right w:w="240" w:type="dxa"/>
            </w:tcMar>
            <w:vAlign w:val="top"/>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676"/>
            </w:tblGrid>
            <w:tr>
              <w:trPr>
                <w:cantSplit/>
              </w:trPr>
              <w:tc>
                <w:tcPr>
                  <w:tcW w:type="dxa" w:w="2676"/>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4"/>
                      <w:sz w:val="14"/>
                      <w:u w:val="none"/>
                    </w:rPr>
                    <w:t>[  AURIXA SYSTEMS  ]</w:t>
                  </w:r>
                </w:p>
              </w:tc>
            </w:tr>
          </w:tbl>
          <w:p/>
          <w:p>
            <w:pPr>
              <w:keepNext w:val="0"/>
              <w:keepLines/>
              <w:pageBreakBefore w:val="0"/>
              <w:widowControl w:val="1"/>
              <w:spacing w:before="0" w:after="0" w:line="280" w:lineRule="exact"/>
            </w:pPr>
            <w:r>
              <w:rPr>
                <w:sz w:val="2"/>
              </w:rPr>
            </w:r>
          </w:p>
          <w:p>
            <w:pPr>
              <w:keepNext w:val="0"/>
              <w:keepLines/>
              <w:pageBreakBefore w:val="0"/>
              <w:widowControl w:val="1"/>
              <w:spacing w:before="0" w:after="100"/>
            </w:pPr>
            <w:r>
              <w:rPr>
                <w:rFonts w:ascii="Calibri" w:hAnsi="Calibri" w:cs="Calibri" w:eastAsia="Calibri"/>
                <w:b/>
                <w:i w:val="0"/>
                <w:caps w:val="1"/>
                <w:color w:val="1D6FE0"/>
                <w:spacing w:val="40"/>
                <w:sz w:val="15"/>
                <w:u w:val="none"/>
              </w:rPr>
              <w:t>Aurixa Systems</w:t>
            </w:r>
          </w:p>
          <w:p>
            <w:pPr>
              <w:keepNext w:val="0"/>
              <w:keepLines/>
              <w:pageBreakBefore w:val="0"/>
              <w:widowControl w:val="1"/>
              <w:spacing w:before="0" w:after="0" w:line="336" w:lineRule="auto"/>
            </w:pPr>
            <w:r>
              <w:rPr>
                <w:rFonts w:ascii="Calibri" w:hAnsi="Calibri" w:cs="Calibri" w:eastAsia="Calibri"/>
                <w:b w:val="0"/>
                <w:i w:val="0"/>
                <w:color w:val="AFC0D6"/>
                <w:sz w:val="14"/>
                <w:u w:val="none"/>
              </w:rPr>
              <w:t>INTELLIGENT PROPERTY &amp; FINANCE INFRASTRUCTURE</w:t>
            </w:r>
          </w:p>
          <w:p>
            <w:pPr>
              <w:keepNext w:val="0"/>
              <w:keepLines/>
              <w:pageBreakBefore w:val="0"/>
              <w:widowControl w:val="1"/>
              <w:spacing w:before="0" w:after="0" w:line="240" w:lineRule="exact"/>
            </w:pPr>
            <w:r>
              <w:rPr>
                <w:sz w:val="2"/>
              </w:rPr>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FOR</w:t>
            </w:r>
          </w:p>
          <w:p>
            <w:pPr>
              <w:keepNext w:val="0"/>
              <w:keepLines/>
              <w:pageBreakBefore w:val="0"/>
              <w:widowControl w:val="1"/>
              <w:spacing w:before="0" w:after="0"/>
            </w:pPr>
            <w:r>
              <w:rPr>
                <w:rFonts w:ascii="Calibri" w:hAnsi="Calibri" w:cs="Calibri" w:eastAsia="Calibri"/>
                <w:b w:val="0"/>
                <w:i w:val="0"/>
                <w:color w:val="FFFFFF"/>
                <w:sz w:val="17"/>
                <w:u w:val="none"/>
              </w:rPr>
              <w:t>J. &amp; S.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PREPARED BY</w:t>
            </w:r>
          </w:p>
          <w:p>
            <w:pPr>
              <w:keepNext w:val="0"/>
              <w:keepLines/>
              <w:pageBreakBefore w:val="0"/>
              <w:widowControl w:val="1"/>
              <w:spacing w:before="0" w:after="0"/>
            </w:pPr>
            <w:r>
              <w:rPr>
                <w:rFonts w:ascii="Calibri" w:hAnsi="Calibri" w:cs="Calibri" w:eastAsia="Calibri"/>
                <w:b w:val="0"/>
                <w:i w:val="0"/>
                <w:color w:val="FFFFFF"/>
                <w:sz w:val="17"/>
                <w:u w:val="none"/>
              </w:rPr>
              <w:t>A. Nguyen</w:t>
            </w:r>
          </w:p>
          <w:p>
            <w:pPr>
              <w:keepNext w:val="0"/>
              <w:keepLines/>
              <w:pageBreakBefore w:val="0"/>
              <w:widowControl w:val="1"/>
              <w:spacing w:before="120" w:after="20"/>
            </w:pPr>
            <w:r>
              <w:rPr>
                <w:rFonts w:ascii="Calibri" w:hAnsi="Calibri" w:cs="Calibri" w:eastAsia="Calibri"/>
                <w:b/>
                <w:i w:val="0"/>
                <w:caps w:val="1"/>
                <w:color w:val="1D6FE0"/>
                <w:spacing w:val="28"/>
                <w:sz w:val="14"/>
                <w:u w:val="none"/>
              </w:rPr>
              <w:t>ISSUED</w:t>
            </w:r>
          </w:p>
          <w:p>
            <w:pPr>
              <w:keepNext w:val="0"/>
              <w:keepLines/>
              <w:pageBreakBefore w:val="0"/>
              <w:widowControl w:val="1"/>
              <w:spacing w:before="0" w:after="0"/>
            </w:pPr>
            <w:r>
              <w:rPr>
                <w:rFonts w:ascii="Calibri" w:hAnsi="Calibri" w:cs="Calibri" w:eastAsia="Calibri"/>
                <w:b w:val="0"/>
                <w:i w:val="0"/>
                <w:color w:val="FFFFFF"/>
                <w:sz w:val="17"/>
                <w:u w:val="none"/>
              </w:rPr>
              <w:t>31 July 2026</w:t>
            </w:r>
          </w:p>
        </w:tc>
        <w:tc>
          <w:tcPr>
            <w:tcW w:type="dxa" w:w="6055"/>
            <w:shd w:val="clear" w:color="auto" w:fill="FFFFFF"/>
            <w:tcMar>
              <w:top w:w="340" w:type="dxa"/>
              <w:left w:w="260" w:type="dxa"/>
              <w:bottom w:w="340" w:type="dxa"/>
              <w:right w:w="100" w:type="dxa"/>
            </w:tcMar>
            <w:vAlign w:val="center"/>
          </w:tcPr>
          <w:p>
            <w:pPr>
              <w:keepNext w:val="0"/>
              <w:keepLines/>
              <w:pageBreakBefore w:val="0"/>
              <w:widowControl w:val="1"/>
              <w:spacing w:before="0" w:after="120"/>
            </w:pPr>
            <w:r>
              <w:rPr>
                <w:rFonts w:ascii="Calibri" w:hAnsi="Calibri" w:cs="Calibri" w:eastAsia="Calibri"/>
                <w:b/>
                <w:i w:val="0"/>
                <w:caps w:val="1"/>
                <w:color w:val="1D6FE0"/>
                <w:spacing w:val="60"/>
                <w:sz w:val="16"/>
                <w:u w:val="none"/>
              </w:rPr>
              <w:t>Annual portfolio review</w:t>
            </w:r>
          </w:p>
          <w:p>
            <w:pPr>
              <w:keepNext/>
              <w:keepLines/>
              <w:pageBreakBefore w:val="0"/>
              <w:widowControl w:val="1"/>
              <w:spacing w:before="0" w:after="160" w:line="240" w:lineRule="auto"/>
            </w:pPr>
            <w:r>
              <w:rPr>
                <w:rFonts w:ascii="Georgia" w:hAnsi="Georgia" w:cs="Georgia" w:eastAsia="Georgia"/>
                <w:b/>
                <w:i w:val="0"/>
                <w:color w:val="0C2340"/>
                <w:spacing w:val="2"/>
                <w:sz w:val="60"/>
                <w:u w:val="none"/>
              </w:rPr>
              <w:t>Portfolio Review</w:t>
            </w:r>
          </w:p>
          <w:p>
            <w:pPr>
              <w:keepNext w:val="0"/>
              <w:keepLines/>
              <w:pageBreakBefore w:val="0"/>
              <w:widowControl w:val="1"/>
              <w:pBdr>
                <w:bottom w:val="single" w:sz="12" w:space="1" w:color="1D6FE0"/>
              </w:pBdr>
              <w:spacing w:before="0" w:after="160" w:line="20" w:lineRule="exact"/>
            </w:pPr>
            <w:r>
              <w:rPr>
                <w:sz w:val="2"/>
              </w:rPr>
            </w:r>
          </w:p>
          <w:p>
            <w:pPr>
              <w:keepNext w:val="0"/>
              <w:keepLines/>
              <w:pageBreakBefore w:val="0"/>
              <w:widowControl w:val="1"/>
              <w:spacing w:before="0" w:after="0" w:line="336" w:lineRule="auto"/>
            </w:pPr>
            <w:r>
              <w:rPr>
                <w:rFonts w:ascii="Calibri" w:hAnsi="Calibri" w:cs="Calibri" w:eastAsia="Calibri"/>
                <w:b w:val="0"/>
                <w:i w:val="0"/>
                <w:color w:val="4C5B73"/>
                <w:sz w:val="22"/>
                <w:u w:val="none"/>
              </w:rPr>
              <w:t>Performance, equity, debt and cash flow across four assets — and the actions we recommend for the coming year.</w:t>
            </w:r>
          </w:p>
          <w:p>
            <w:pPr>
              <w:keepNext w:val="0"/>
              <w:keepLines/>
              <w:pageBreakBefore w:val="0"/>
              <w:widowControl w:val="1"/>
              <w:spacing w:before="0" w:after="0" w:line="200" w:lineRule="exact"/>
            </w:pPr>
            <w:r>
              <w:rPr>
                <w:sz w:val="2"/>
              </w:rPr>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517"/>
              <w:gridCol w:w="2517"/>
            </w:tblGrid>
            <w:tr>
              <w:trPr>
                <w:cantSplit/>
              </w:trPr>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4 ASSETS</w:t>
                  </w:r>
                </w:p>
              </w:tc>
              <w:tc>
                <w:tcPr>
                  <w:tcW w:type="dxa" w:w="2517"/>
                  <w:tcBorders>
                    <w:top w:val="single" w:sz="4" w:space="0" w:color="C2CDDC"/>
                    <w:left w:val="single" w:sz="4" w:space="0" w:color="C2CDDC"/>
                    <w:bottom w:val="single" w:sz="4" w:space="0" w:color="C2CDDC"/>
                    <w:right w:val="single" w:sz="4" w:space="0" w:color="C2CDDC"/>
                  </w:tcBorders>
                  <w:shd w:val="clear" w:color="auto" w:fill="DCE8FB"/>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0C2340"/>
                      <w:spacing w:val="28"/>
                      <w:sz w:val="14"/>
                      <w:u w:val="none"/>
                    </w:rPr>
                    <w:t>FY2026</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18" w:type="dxa"/>
              <w:left w:w="165" w:type="dxa"/>
              <w:bottom w:w="118" w:type="dxa"/>
              <w:right w:w="165"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C2340"/>
          <w:spacing w:val="2"/>
          <w:sz w:val="34"/>
          <w:u w:val="none"/>
        </w:rPr>
        <w:t>Contents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01    </w:t>
      </w:r>
      <w:r>
        <w:rPr>
          <w:rFonts w:ascii="Calibri" w:hAnsi="Calibri" w:cs="Calibri" w:eastAsia="Calibri"/>
          <w:b w:val="0"/>
          <w:i w:val="0"/>
          <w:color w:val="10192A"/>
          <w:sz w:val="19"/>
          <w:u w:val="none"/>
        </w:rPr>
        <w:t>Portfolio position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02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03    </w:t>
      </w:r>
      <w:r>
        <w:rPr>
          <w:rFonts w:ascii="Calibri" w:hAnsi="Calibri" w:cs="Calibri" w:eastAsia="Calibri"/>
          <w:b w:val="0"/>
          <w:i w:val="0"/>
          <w:color w:val="10192A"/>
          <w:sz w:val="19"/>
          <w:u w:val="none"/>
        </w:rPr>
        <w:t>Performance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04    </w:t>
      </w:r>
      <w:r>
        <w:rPr>
          <w:rFonts w:ascii="Calibri" w:hAnsi="Calibri" w:cs="Calibri" w:eastAsia="Calibri"/>
          <w:b w:val="0"/>
          <w:i w:val="0"/>
          <w:color w:val="10192A"/>
          <w:sz w:val="19"/>
          <w:u w:val="none"/>
        </w:rPr>
        <w:t>Asset register</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05    </w:t>
      </w:r>
      <w:r>
        <w:rPr>
          <w:rFonts w:ascii="Calibri" w:hAnsi="Calibri" w:cs="Calibri" w:eastAsia="Calibri"/>
          <w:b w:val="0"/>
          <w:i w:val="0"/>
          <w:color w:val="10192A"/>
          <w:sz w:val="19"/>
          <w:u w:val="none"/>
        </w:rPr>
        <w:t>Debt profile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06    </w:t>
      </w:r>
      <w:r>
        <w:rPr>
          <w:rFonts w:ascii="Calibri" w:hAnsi="Calibri" w:cs="Calibri" w:eastAsia="Calibri"/>
          <w:b w:val="0"/>
          <w:i w:val="0"/>
          <w:color w:val="10192A"/>
          <w:sz w:val="19"/>
          <w:u w:val="none"/>
        </w:rPr>
        <w:t>Cash-flow position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07    </w:t>
      </w:r>
      <w:r>
        <w:rPr>
          <w:rFonts w:ascii="Calibri" w:hAnsi="Calibri" w:cs="Calibri" w:eastAsia="Calibri"/>
          <w:b w:val="0"/>
          <w:i w:val="0"/>
          <w:color w:val="10192A"/>
          <w:sz w:val="19"/>
          <w:u w:val="none"/>
        </w:rPr>
        <w:t>Opportunities &amp; risks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08    </w:t>
      </w:r>
      <w:r>
        <w:rPr>
          <w:rFonts w:ascii="Calibri" w:hAnsi="Calibri" w:cs="Calibri" w:eastAsia="Calibri"/>
          <w:b w:val="0"/>
          <w:i w:val="0"/>
          <w:color w:val="10192A"/>
          <w:sz w:val="19"/>
          <w:u w:val="none"/>
        </w:rPr>
        <w:t>Recommended actions</w:t>
      </w:r>
    </w:p>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01   </w:t>
      </w:r>
      <w:r>
        <w:rPr>
          <w:rFonts w:ascii="Georgia" w:hAnsi="Georgia" w:cs="Georgia" w:eastAsia="Georgia"/>
          <w:b w:val="0"/>
          <w:i w:val="0"/>
          <w:color w:val="0C2340"/>
          <w:spacing w:val="2"/>
          <w:sz w:val="34"/>
          <w:u w:val="none"/>
        </w:rPr>
        <w:t>Portfolio position</w:t>
      </w:r>
    </w:p>
    <w:p>
      <w:pPr>
        <w:keepNext/>
        <w:keepLines/>
        <w:pageBreakBefore w:val="0"/>
        <w:widowControl w:val="1"/>
        <w:spacing w:before="0" w:after="100"/>
      </w:pPr>
      <w:r>
        <w:rPr>
          <w:rFonts w:ascii="Calibri" w:hAnsi="Calibri" w:cs="Calibri" w:eastAsia="Calibri"/>
          <w:b/>
          <w:i w:val="0"/>
          <w:caps w:val="1"/>
          <w:color w:val="4C5B73"/>
          <w:spacing w:val="36"/>
          <w:sz w:val="15"/>
          <w:u w:val="none"/>
        </w:rPr>
        <w:t>Where you stand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TOTAL VALUE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TOTAL DEBT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NET EQUITY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6"/>
                <w:sz w:val="14"/>
                <w:u w:val="none"/>
              </w:rPr>
              <w:t>PORTFOLIO YIELD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$4,912,000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 assets, Jun 2026</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$2,847,000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Across 5 facilities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$2,065,000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42.0% of value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Gross, weighted</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02   </w:t>
      </w:r>
      <w:r>
        <w:rPr>
          <w:rFonts w:ascii="Georgia" w:hAnsi="Georgia" w:cs="Georgia" w:eastAsia="Georgia"/>
          <w:b w:val="0"/>
          <w:i w:val="0"/>
          <w:color w:val="0C2340"/>
          <w:spacing w:val="2"/>
          <w:sz w:val="34"/>
          <w:u w:val="none"/>
        </w:rPr>
        <w:t>Executive summary</w:t>
      </w:r>
    </w:p>
    <w:p>
      <w:pPr>
        <w:keepNext/>
        <w:keepLines/>
        <w:pageBreakBefore w:val="0"/>
        <w:widowControl w:val="1"/>
        <w:spacing w:before="0" w:after="100"/>
      </w:pPr>
      <w:r>
        <w:rPr>
          <w:rFonts w:ascii="Calibri" w:hAnsi="Calibri" w:cs="Calibri" w:eastAsia="Calibri"/>
          <w:b/>
          <w:i w:val="0"/>
          <w:caps w:val="1"/>
          <w:color w:val="4C5B73"/>
          <w:spacing w:val="36"/>
          <w:sz w:val="15"/>
          <w:u w:val="none"/>
        </w:rPr>
        <w:t>The year in review</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212" w:type="dxa"/>
              <w:left w:w="247" w:type="dxa"/>
              <w:bottom w:w="212" w:type="dxa"/>
              <w:right w:w="247" w:type="dxa"/>
            </w:tcMar>
          </w:tcPr>
          <w:p>
            <w:pPr>
              <w:keepNext/>
              <w:keepLines/>
              <w:pageBreakBefore w:val="0"/>
              <w:widowControl w:val="1"/>
              <w:spacing w:before="0" w:after="80"/>
            </w:pPr>
            <w:r>
              <w:rPr>
                <w:rFonts w:ascii="Calibri" w:hAnsi="Calibri" w:cs="Calibri" w:eastAsia="Calibri"/>
                <w:b/>
                <w:i w:val="0"/>
                <w:caps w:val="1"/>
                <w:color w:val="1D6FE0"/>
                <w:spacing w:val="36"/>
                <w:sz w:val="15"/>
                <w:u w:val="none"/>
              </w:rPr>
              <w:t>Executive summary</w:t>
            </w:r>
          </w:p>
          <w:p>
            <w:pPr>
              <w:keepNext/>
              <w:keepLines/>
              <w:pageBreakBefore w:val="0"/>
              <w:widowControl w:val="1"/>
              <w:spacing w:before="0" w:after="120" w:line="293" w:lineRule="auto"/>
            </w:pPr>
            <w:r>
              <w:rPr>
                <w:rFonts w:ascii="Georgia" w:hAnsi="Georgia" w:cs="Georgia" w:eastAsia="Georgia"/>
                <w:b/>
                <w:i w:val="0"/>
                <w:color w:val="0C2340"/>
                <w:sz w:val="23"/>
                <w:u w:val="none"/>
              </w:rPr>
              <w:t>The portfolio grew $312,000 in value and $41,000 in equity, but the cash-flow position deteriorated by $18,400 — and one asset is now dragging the whole portfolio.</w:t>
            </w:r>
          </w:p>
          <w:p>
            <w:pPr>
              <w:keepNext w:val="0"/>
              <w:keepLines/>
              <w:pageBreakBefore w:val="0"/>
              <w:widowControl w:val="1"/>
              <w:spacing w:before="0" w:after="0" w:line="341" w:lineRule="auto"/>
            </w:pPr>
            <w:r>
              <w:rPr>
                <w:rFonts w:ascii="Calibri" w:hAnsi="Calibri" w:cs="Calibri" w:eastAsia="Calibri"/>
                <w:b w:val="0"/>
                <w:i w:val="0"/>
                <w:color w:val="10192A"/>
                <w:sz w:val="19"/>
                <w:u w:val="none"/>
              </w:rPr>
              <w:t>Portfolio value rose 6.8% to $4,912,000 over the year, ahead of the 5.9% weighted market movement across the four locations. Net equity rose to $2,065,000 and portfolio LVR improved from 60.4% to 58.0%.</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Cash flow moved the other way. The after-tax position worsened by $18,400, driven almost entirely by 21 Test Road, which has been vacant for eleven weeks of the year and carries the portfolio's only interest-only facility reverting to principal and interest in March.</w:t>
            </w:r>
          </w:p>
          <w:p>
            <w:pPr>
              <w:keepNext w:val="0"/>
              <w:keepLines/>
              <w:pageBreakBefore w:val="0"/>
              <w:widowControl w:val="1"/>
              <w:spacing w:before="100" w:after="0" w:line="341" w:lineRule="auto"/>
            </w:pPr>
            <w:r>
              <w:rPr>
                <w:rFonts w:ascii="Calibri" w:hAnsi="Calibri" w:cs="Calibri" w:eastAsia="Calibri"/>
                <w:b w:val="0"/>
                <w:i w:val="0"/>
                <w:color w:val="10192A"/>
                <w:sz w:val="19"/>
                <w:u w:val="none"/>
              </w:rPr>
              <w:t>Three of the four assets are performing to expectation. The fourth is not, and has not for two consecutive years. This review recommends a decision on it rather than another year of monitoring.</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What this means</w:t>
            </w:r>
          </w:p>
          <w:p>
            <w:pPr>
              <w:keepNext w:val="0"/>
              <w:keepLines/>
              <w:pageBreakBefore w:val="0"/>
              <w:widowControl w:val="1"/>
              <w:spacing w:before="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Value up 6.8%; portfolio LVR improved to 58.0%.</w:t>
            </w:r>
          </w:p>
          <w:p>
            <w:pPr>
              <w:keepNext w:val="0"/>
              <w:keepLines/>
              <w:pageBreakBefore w:val="0"/>
              <w:widowControl w:val="1"/>
              <w:spacing w:before="8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After-tax cash flow deteriorated by $18,400.</w:t>
            </w:r>
          </w:p>
          <w:p>
            <w:pPr>
              <w:keepNext w:val="0"/>
              <w:keepLines/>
              <w:pageBreakBefore w:val="0"/>
              <w:widowControl w:val="1"/>
              <w:spacing w:before="8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21 Test Road has underperformed for two consecutive years.</w:t>
            </w:r>
          </w:p>
          <w:p>
            <w:pPr>
              <w:keepNext w:val="0"/>
              <w:keepLines/>
              <w:pageBreakBefore w:val="0"/>
              <w:widowControl w:val="1"/>
              <w:spacing w:before="80" w:after="0" w:line="341"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$284,000 of usable equity is available for a fifth acquisition.</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03   </w:t>
      </w:r>
      <w:r>
        <w:rPr>
          <w:rFonts w:ascii="Georgia" w:hAnsi="Georgia" w:cs="Georgia" w:eastAsia="Georgia"/>
          <w:b w:val="0"/>
          <w:i w:val="0"/>
          <w:color w:val="0C2340"/>
          <w:spacing w:val="2"/>
          <w:sz w:val="34"/>
          <w:u w:val="none"/>
        </w:rPr>
        <w:t>Performance</w:t>
      </w:r>
    </w:p>
    <w:p>
      <w:pPr>
        <w:keepNext/>
        <w:keepLines/>
        <w:pageBreakBefore w:val="0"/>
        <w:widowControl w:val="1"/>
        <w:spacing w:before="0" w:after="100"/>
      </w:pPr>
      <w:r>
        <w:rPr>
          <w:rFonts w:ascii="Calibri" w:hAnsi="Calibri" w:cs="Calibri" w:eastAsia="Calibri"/>
          <w:b/>
          <w:i w:val="0"/>
          <w:caps w:val="1"/>
          <w:color w:val="4C5B73"/>
          <w:spacing w:val="36"/>
          <w:sz w:val="15"/>
          <w:u w:val="none"/>
        </w:rPr>
        <w:t>Value and equity over the period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FFFFF"/>
            <w:tcMar>
              <w:top w:w="150" w:type="dxa"/>
              <w:left w:w="180" w:type="dxa"/>
              <w:bottom w:w="150" w:type="dxa"/>
              <w:right w:w="180" w:type="dxa"/>
            </w:tcMar>
            <w:vAlign w:val="center"/>
          </w:tcPr>
          <w:p>
            <w:pPr>
              <w:keepNext w:val="0"/>
              <w:keepLines/>
              <w:pageBreakBefore w:val="0"/>
              <w:widowControl w:val="1"/>
              <w:spacing w:before="0" w:after="60"/>
              <w:jc w:val="center"/>
            </w:pPr>
            <w:r>
              <w:rPr>
                <w:rFonts w:ascii="Georgia" w:hAnsi="Georgia" w:cs="Georgia" w:eastAsia="Georgia"/>
                <w:b/>
                <w:i w:val="0"/>
                <w:color w:val="0C2340"/>
                <w:sz w:val="18"/>
                <w:u w:val="none"/>
              </w:rPr>
              <w:t>Portfolio value and equity, five years</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STACKED AREA CHART  ]</w:t>
            </w:r>
          </w:p>
          <w:p>
            <w:pPr>
              <w:keepNext/>
              <w:keepLines/>
              <w:pageBreakBefore w:val="0"/>
              <w:widowControl w:val="1"/>
              <w:spacing w:before="0" w:after="0"/>
              <w:jc w:val="center"/>
            </w:pPr>
            <w:r>
              <w:rPr>
                <w:rFonts w:ascii="Calibri" w:hAnsi="Calibri" w:cs="Calibri" w:eastAsia="Calibri"/>
                <w:b w:val="0"/>
                <w:i w:val="0"/>
                <w:color w:val="8493A8"/>
                <w:sz w:val="14"/>
                <w:u w:val="none"/>
              </w:rPr>
              <w:t>{{portfolio.history}}</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Value, debt and net equity   ·   Source: Aurixa portfolio model   ·   Alt text: Portfolio value rose from $3.68m to $4.91m over five years while debt stayed broadly flat, so equity more than doubled</w:t>
      </w:r>
    </w:p>
    <w:p>
      <w:pPr>
        <w:keepNext w:val="0"/>
        <w:keepLines/>
        <w:pageBreakBefore w:val="0"/>
        <w:widowControl w:val="1"/>
        <w:spacing w:before="0" w:after="0" w:line="144"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12-month value movement by asset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 Example St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143"/>
              <w:gridCol w:w="509"/>
            </w:tblGrid>
            <w:tr>
              <w:trPr>
                <w:cantSplit/>
              </w:trPr>
              <w:tc>
                <w:tcPr>
                  <w:tcW w:type="dxa" w:w="5143"/>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0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+9.1%</w:t>
            </w:r>
          </w:p>
        </w:tc>
      </w:tr>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Sample Ave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4182"/>
              <w:gridCol w:w="1469"/>
            </w:tblGrid>
            <w:tr>
              <w:trPr>
                <w:cantSplit/>
              </w:trPr>
              <w:tc>
                <w:tcPr>
                  <w:tcW w:type="dxa" w:w="4182"/>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146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+7.4%</w:t>
            </w:r>
          </w:p>
        </w:tc>
      </w:tr>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 Demo Close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504"/>
              <w:gridCol w:w="2147"/>
            </w:tblGrid>
            <w:tr>
              <w:trPr>
                <w:cantSplit/>
              </w:trPr>
              <w:tc>
                <w:tcPr>
                  <w:tcW w:type="dxa" w:w="3504"/>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14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+6.2%</w:t>
            </w:r>
          </w:p>
        </w:tc>
      </w:tr>
      <w:tr>
        <w:trPr>
          <w:cantSplit/>
          <w:trHeight w:val="420" w:hRule="atLeast"/>
        </w:trPr>
        <w:tc>
          <w:tcPr>
            <w:tcW w:type="dxa" w:w="2826"/>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21 Test Rd</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017"/>
              <w:gridCol w:w="4634"/>
            </w:tblGrid>
            <w:tr>
              <w:trPr>
                <w:cantSplit/>
              </w:trPr>
              <w:tc>
                <w:tcPr>
                  <w:tcW w:type="dxa" w:w="1017"/>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6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tc>
        <w:tc>
          <w:tcPr>
            <w:tcW w:type="dxa" w:w="1615"/>
            <w:tcBorders>
              <w:top w:val="nil"/>
              <w:left w:val="nil"/>
              <w:bottom w:val="single" w:sz="4" w:space="0" w:color="DCE3ED"/>
              <w:right w:val="nil"/>
            </w:tcBorders>
            <w:tcMar>
              <w:top w:w="118" w:type="dxa"/>
              <w:left w:w="165" w:type="dxa"/>
              <w:bottom w:w="118" w:type="dxa"/>
              <w:right w:w="165" w:type="dxa"/>
            </w:tcMar>
            <w:vAlign w:val="center"/>
          </w:tcPr>
          <w:p>
            <w:pPr>
              <w:keepNext w:val="0"/>
              <w:keepLines/>
              <w:pageBreakBefore w:val="0"/>
              <w:widowControl w:val="1"/>
              <w:spacing w:before="0" w:after="0"/>
              <w:jc w:val="right"/>
            </w:pPr>
            <w:r>
              <w:rPr>
                <w:rFonts w:ascii="Calibri" w:hAnsi="Calibri" w:cs="Calibri" w:eastAsia="Calibri"/>
                <w:b/>
                <w:i w:val="0"/>
                <w:color w:val="0C2340"/>
                <w:sz w:val="17"/>
                <w:u w:val="none"/>
              </w:rPr>
              <w:t>+1.8%</w:t>
            </w:r>
          </w:p>
        </w:tc>
      </w:tr>
    </w:tbl>
    <w:p>
      <w:pPr>
        <w:keepNext w:val="0"/>
        <w:keepLines/>
        <w:pageBreakBefore w:val="0"/>
        <w:widowControl w:val="1"/>
        <w:spacing w:before="80" w:after="0"/>
      </w:pPr>
      <w:r>
        <w:rPr>
          <w:rFonts w:ascii="Calibri" w:hAnsi="Calibri" w:cs="Calibri" w:eastAsia="Calibri"/>
          <w:b w:val="0"/>
          <w:i/>
          <w:color w:val="8493A8"/>
          <w:sz w:val="14"/>
          <w:u w:val="none"/>
        </w:rPr>
        <w:t>21 Test Road has now underperformed the portfolio average in each of the last two years.</w:t>
      </w:r>
    </w:p>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04   </w:t>
      </w:r>
      <w:r>
        <w:rPr>
          <w:rFonts w:ascii="Georgia" w:hAnsi="Georgia" w:cs="Georgia" w:eastAsia="Georgia"/>
          <w:b w:val="0"/>
          <w:i w:val="0"/>
          <w:color w:val="0C2340"/>
          <w:spacing w:val="2"/>
          <w:sz w:val="34"/>
          <w:u w:val="none"/>
        </w:rPr>
        <w:t>Asset register</w:t>
      </w:r>
    </w:p>
    <w:p>
      <w:pPr>
        <w:keepNext/>
        <w:keepLines/>
        <w:pageBreakBefore w:val="0"/>
        <w:widowControl w:val="1"/>
        <w:spacing w:before="0" w:after="100"/>
      </w:pPr>
      <w:r>
        <w:rPr>
          <w:rFonts w:ascii="Calibri" w:hAnsi="Calibri" w:cs="Calibri" w:eastAsia="Calibri"/>
          <w:b/>
          <w:i w:val="0"/>
          <w:caps w:val="1"/>
          <w:color w:val="4C5B73"/>
          <w:spacing w:val="36"/>
          <w:sz w:val="15"/>
          <w:u w:val="none"/>
        </w:rPr>
        <w:t>Every asset, every measure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Asset register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sset register"/>
        <w:tblDescription w:val="Columns: Asset, Acquired, Cost, Value, Debt, LVR, Rent p.a., Net p.a."/>
      </w:tblPr>
      <w:tblGrid>
        <w:gridCol w:w="1695"/>
        <w:gridCol w:w="1130"/>
        <w:gridCol w:w="1292"/>
        <w:gridCol w:w="1372"/>
        <w:gridCol w:w="1292"/>
        <w:gridCol w:w="888"/>
        <w:gridCol w:w="1211"/>
        <w:gridCol w:w="1211"/>
      </w:tblGrid>
      <w:tr>
        <w:trPr>
          <w:cantSplit/>
          <w:trHeight w:val="420" w:hRule="atLeast"/>
          <w:tblHeader/>
        </w:trPr>
        <w:tc>
          <w:tcPr>
            <w:tcW w:type="dxa" w:w="1695"/>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Asset</w:t>
            </w:r>
          </w:p>
        </w:tc>
        <w:tc>
          <w:tcPr>
            <w:tcW w:type="dxa" w:w="1130"/>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Acquired</w:t>
            </w:r>
          </w:p>
        </w:tc>
        <w:tc>
          <w:tcPr>
            <w:tcW w:type="dxa" w:w="129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Cost</w:t>
            </w:r>
          </w:p>
        </w:tc>
        <w:tc>
          <w:tcPr>
            <w:tcW w:type="dxa" w:w="137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Value</w:t>
            </w:r>
          </w:p>
        </w:tc>
        <w:tc>
          <w:tcPr>
            <w:tcW w:type="dxa" w:w="129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Debt</w:t>
            </w:r>
          </w:p>
        </w:tc>
        <w:tc>
          <w:tcPr>
            <w:tcW w:type="dxa" w:w="88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LVR</w:t>
            </w:r>
          </w:p>
        </w:tc>
        <w:tc>
          <w:tcPr>
            <w:tcW w:type="dxa" w:w="121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 p.a.</w:t>
            </w:r>
          </w:p>
        </w:tc>
        <w:tc>
          <w:tcPr>
            <w:tcW w:type="dxa" w:w="121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Net p.a.</w:t>
            </w:r>
          </w:p>
        </w:tc>
      </w:tr>
      <w:tr>
        <w:trPr>
          <w:cantSplit/>
          <w:trHeight w:val="397" w:hRule="atLeast"/>
        </w:trPr>
        <w:tc>
          <w:tcPr>
            <w:tcW w:type="dxa" w:w="169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130"/>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2019</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$742,000</w:t>
            </w:r>
          </w:p>
        </w:tc>
        <w:tc>
          <w:tcPr>
            <w:tcW w:type="dxa" w:w="137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$1,284,000</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8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32.1%</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$41,600</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$6,240</w:t>
            </w:r>
          </w:p>
        </w:tc>
      </w:tr>
      <w:tr>
        <w:trPr>
          <w:cantSplit/>
          <w:trHeight w:val="397" w:hRule="atLeast"/>
        </w:trPr>
        <w:tc>
          <w:tcPr>
            <w:tcW w:type="dxa" w:w="169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130"/>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Aug 2021</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$865,000</w:t>
            </w:r>
          </w:p>
        </w:tc>
        <w:tc>
          <w:tcPr>
            <w:tcW w:type="dxa" w:w="137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$1,196,000</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8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32.5%</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$38,480</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$4,810</w:t>
            </w:r>
          </w:p>
        </w:tc>
      </w:tr>
      <w:tr>
        <w:trPr>
          <w:cantSplit/>
          <w:trHeight w:val="397" w:hRule="atLeast"/>
        </w:trPr>
        <w:tc>
          <w:tcPr>
            <w:tcW w:type="dxa" w:w="1695"/>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130"/>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Feb 2023</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$1,024,000</w:t>
            </w:r>
          </w:p>
        </w:tc>
        <w:tc>
          <w:tcPr>
            <w:tcW w:type="dxa" w:w="137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$1,318,000</w:t>
            </w:r>
          </w:p>
        </w:tc>
        <w:tc>
          <w:tcPr>
            <w:tcW w:type="dxa" w:w="129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$864,000</w:t>
            </w:r>
          </w:p>
        </w:tc>
        <w:tc>
          <w:tcPr>
            <w:tcW w:type="dxa" w:w="8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65.6%</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$46,800</w:t>
            </w:r>
          </w:p>
        </w:tc>
        <w:tc>
          <w:tcPr>
            <w:tcW w:type="dxa" w:w="121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-$8,920</w:t>
            </w:r>
          </w:p>
        </w:tc>
      </w:tr>
      <w:tr>
        <w:trPr>
          <w:cantSplit/>
          <w:trHeight w:val="397" w:hRule="atLeast"/>
        </w:trPr>
        <w:tc>
          <w:tcPr>
            <w:tcW w:type="dxa" w:w="1695"/>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21 Test Rd</w:t>
            </w:r>
          </w:p>
        </w:tc>
        <w:tc>
          <w:tcPr>
            <w:tcW w:type="dxa" w:w="1130"/>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Nov 2023</w:t>
            </w:r>
          </w:p>
        </w:tc>
        <w:tc>
          <w:tcPr>
            <w:tcW w:type="dxa" w:w="1292"/>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$1,096,000</w:t>
            </w:r>
          </w:p>
        </w:tc>
        <w:tc>
          <w:tcPr>
            <w:tcW w:type="dxa" w:w="1372"/>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$1,114,000</w:t>
            </w:r>
          </w:p>
        </w:tc>
        <w:tc>
          <w:tcPr>
            <w:tcW w:type="dxa" w:w="1292"/>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$1,182,000</w:t>
            </w:r>
          </w:p>
        </w:tc>
        <w:tc>
          <w:tcPr>
            <w:tcW w:type="dxa" w:w="888"/>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106.1%</w:t>
            </w:r>
          </w:p>
        </w:tc>
        <w:tc>
          <w:tcPr>
            <w:tcW w:type="dxa" w:w="1211"/>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$34,320</w:t>
            </w:r>
          </w:p>
        </w:tc>
        <w:tc>
          <w:tcPr>
            <w:tcW w:type="dxa" w:w="1211"/>
            <w:tcBorders>
              <w:top w:val="nil"/>
              <w:left w:val="nil"/>
              <w:bottom w:val="single" w:sz="4" w:space="0" w:color="DCE3ED"/>
              <w:right w:val="nil"/>
            </w:tcBorders>
            <w:shd w:val="clear" w:color="auto" w:fill="F7F9FC"/>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-$24,180</w:t>
            </w:r>
          </w:p>
        </w:tc>
      </w:tr>
      <w:tr>
        <w:trPr>
          <w:cantSplit/>
          <w:trHeight w:val="397" w:hRule="atLeast"/>
        </w:trPr>
        <w:tc>
          <w:tcPr>
            <w:tcW w:type="dxa" w:w="1695"/>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Portfolio</w:t>
            </w:r>
          </w:p>
        </w:tc>
        <w:tc>
          <w:tcPr>
            <w:tcW w:type="dxa" w:w="1130"/>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p>
        </w:tc>
        <w:tc>
          <w:tcPr>
            <w:tcW w:type="dxa" w:w="1292"/>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$3,727,000</w:t>
            </w:r>
          </w:p>
        </w:tc>
        <w:tc>
          <w:tcPr>
            <w:tcW w:type="dxa" w:w="1372"/>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$4,912,000</w:t>
            </w:r>
          </w:p>
        </w:tc>
        <w:tc>
          <w:tcPr>
            <w:tcW w:type="dxa" w:w="1292"/>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$2,847,000</w:t>
            </w:r>
          </w:p>
        </w:tc>
        <w:tc>
          <w:tcPr>
            <w:tcW w:type="dxa" w:w="88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58.0%</w:t>
            </w:r>
          </w:p>
        </w:tc>
        <w:tc>
          <w:tcPr>
            <w:tcW w:type="dxa" w:w="1211"/>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$161,200</w:t>
            </w:r>
          </w:p>
        </w:tc>
        <w:tc>
          <w:tcPr>
            <w:tcW w:type="dxa" w:w="1211"/>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-$22,050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21 Test Road's LVR exceeds 100% because the facility was drawn to fund acquisition costs and the asset has appreciated only 1.6% since purchase.</w:t>
      </w:r>
    </w:p>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05   </w:t>
      </w:r>
      <w:r>
        <w:rPr>
          <w:rFonts w:ascii="Georgia" w:hAnsi="Georgia" w:cs="Georgia" w:eastAsia="Georgia"/>
          <w:b w:val="0"/>
          <w:i w:val="0"/>
          <w:color w:val="0C2340"/>
          <w:spacing w:val="2"/>
          <w:sz w:val="34"/>
          <w:u w:val="none"/>
        </w:rPr>
        <w:t>Debt profile</w:t>
      </w:r>
    </w:p>
    <w:p>
      <w:pPr>
        <w:keepNext/>
        <w:keepLines/>
        <w:pageBreakBefore w:val="0"/>
        <w:widowControl w:val="1"/>
        <w:spacing w:before="0" w:after="100"/>
      </w:pPr>
      <w:r>
        <w:rPr>
          <w:rFonts w:ascii="Calibri" w:hAnsi="Calibri" w:cs="Calibri" w:eastAsia="Calibri"/>
          <w:b/>
          <w:i w:val="0"/>
          <w:caps w:val="1"/>
          <w:color w:val="4C5B73"/>
          <w:spacing w:val="36"/>
          <w:sz w:val="15"/>
          <w:u w:val="none"/>
        </w:rPr>
        <w:t>Facilities, rates and expiries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Debt profile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ebt profile"/>
        <w:tblDescription w:val="Columns: Facility, Security, Limit, Balance, Rate, Type, Expiry"/>
      </w:tblPr>
      <w:tblGrid>
        <w:gridCol w:w="989"/>
        <w:gridCol w:w="2177"/>
        <w:gridCol w:w="1484"/>
        <w:gridCol w:w="1484"/>
        <w:gridCol w:w="1088"/>
        <w:gridCol w:w="1583"/>
        <w:gridCol w:w="1286"/>
      </w:tblGrid>
      <w:tr>
        <w:trPr>
          <w:cantSplit/>
          <w:trHeight w:val="420" w:hRule="atLeast"/>
          <w:tblHeader/>
        </w:trPr>
        <w:tc>
          <w:tcPr>
            <w:tcW w:type="dxa" w:w="989"/>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77"/>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Security</w:t>
            </w:r>
          </w:p>
        </w:tc>
        <w:tc>
          <w:tcPr>
            <w:tcW w:type="dxa" w:w="148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148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Balance</w:t>
            </w:r>
          </w:p>
        </w:tc>
        <w:tc>
          <w:tcPr>
            <w:tcW w:type="dxa" w:w="108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583"/>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286"/>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F1</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$420,000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6.14%</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F2</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$395,000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6.22%</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F3</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$870,000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$864,000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6.09%</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fixed</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Aug 2027</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F4</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$1,110,000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$1,104,000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6.44%</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2027</w:t>
            </w:r>
          </w:p>
        </w:tc>
      </w:tr>
      <w:tr>
        <w:trPr>
          <w:cantSplit/>
          <w:trHeight w:val="397" w:hRule="atLeast"/>
        </w:trPr>
        <w:tc>
          <w:tcPr>
            <w:tcW w:type="dxa" w:w="989"/>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F5</w:t>
            </w:r>
          </w:p>
        </w:tc>
        <w:tc>
          <w:tcPr>
            <w:tcW w:type="dxa" w:w="217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 (2nd)</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$80,000</w:t>
            </w:r>
          </w:p>
        </w:tc>
        <w:tc>
          <w:tcPr>
            <w:tcW w:type="dxa" w:w="148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$78,000</w:t>
            </w:r>
          </w:p>
        </w:tc>
        <w:tc>
          <w:tcPr>
            <w:tcW w:type="dxa" w:w="108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7.10%</w:t>
            </w:r>
          </w:p>
        </w:tc>
        <w:tc>
          <w:tcPr>
            <w:tcW w:type="dxa" w:w="1583"/>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Equity release</w:t>
            </w:r>
          </w:p>
        </w:tc>
        <w:tc>
          <w:tcPr>
            <w:tcW w:type="dxa" w:w="1286"/>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989"/>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p>
        </w:tc>
        <w:tc>
          <w:tcPr>
            <w:tcW w:type="dxa" w:w="2177"/>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Portfolio</w:t>
            </w:r>
          </w:p>
        </w:tc>
        <w:tc>
          <w:tcPr>
            <w:tcW w:type="dxa" w:w="1484"/>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$2,875,000</w:t>
            </w:r>
          </w:p>
        </w:tc>
        <w:tc>
          <w:tcPr>
            <w:tcW w:type="dxa" w:w="1484"/>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$2,847,000</w:t>
            </w:r>
          </w:p>
        </w:tc>
        <w:tc>
          <w:tcPr>
            <w:tcW w:type="dxa" w:w="108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6.28%</w:t>
            </w:r>
          </w:p>
        </w:tc>
        <w:tc>
          <w:tcPr>
            <w:tcW w:type="dxa" w:w="1583"/>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p>
        </w:tc>
        <w:tc>
          <w:tcPr>
            <w:tcW w:type="dxa" w:w="1286"/>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F4 reverts from interest only to principal and interest in March 2027, which will increase repayments by approximately $1,840 per month.</w:t>
      </w:r>
    </w:p>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06   </w:t>
      </w:r>
      <w:r>
        <w:rPr>
          <w:rFonts w:ascii="Georgia" w:hAnsi="Georgia" w:cs="Georgia" w:eastAsia="Georgia"/>
          <w:b w:val="0"/>
          <w:i w:val="0"/>
          <w:color w:val="0C2340"/>
          <w:spacing w:val="2"/>
          <w:sz w:val="34"/>
          <w:u w:val="none"/>
        </w:rPr>
        <w:t>Cash-flow position</w:t>
      </w:r>
    </w:p>
    <w:p>
      <w:pPr>
        <w:keepNext/>
        <w:keepLines/>
        <w:pageBreakBefore w:val="0"/>
        <w:widowControl w:val="1"/>
        <w:spacing w:before="0" w:after="100"/>
      </w:pPr>
      <w:r>
        <w:rPr>
          <w:rFonts w:ascii="Calibri" w:hAnsi="Calibri" w:cs="Calibri" w:eastAsia="Calibri"/>
          <w:b/>
          <w:i w:val="0"/>
          <w:caps w:val="1"/>
          <w:color w:val="4C5B73"/>
          <w:spacing w:val="36"/>
          <w:sz w:val="15"/>
          <w:u w:val="none"/>
        </w:rPr>
        <w:t>Consolidated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Consolidated cash flow</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solidated cash flow"/>
        <w:tblDescription w:val="Columns: Item, FY2025, FY2026, Movement"/>
      </w:tblPr>
      <w:tblGrid>
        <w:gridCol w:w="4037"/>
        <w:gridCol w:w="2018"/>
        <w:gridCol w:w="2018"/>
        <w:gridCol w:w="2018"/>
      </w:tblGrid>
      <w:tr>
        <w:trPr>
          <w:cantSplit/>
          <w:trHeight w:val="420" w:hRule="atLeas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FY2025</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FY2026</w:t>
            </w:r>
          </w:p>
        </w:tc>
        <w:tc>
          <w:tcPr>
            <w:tcW w:type="dxa" w:w="2018"/>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Movement</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rental income</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$154,700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$161,200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+$6,500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Vacancy</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-$4,180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-$11,420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-$7,240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Operating expenses</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-$34,900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-$36,780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-$1,880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Loan interest</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-$168,400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-$178,850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-$10,450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Pre-tax position</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-$52,780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-$65,850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-$13,070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Depreciation</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-$38,600</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+$2,600</w:t>
            </w:r>
          </w:p>
        </w:tc>
      </w:tr>
      <w:tr>
        <w:trPr>
          <w:cantSplit/>
          <w:trHeight w:val="397" w:hRule="atLeas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Tax effect at 39%</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$36,672</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$40,776</w:t>
            </w:r>
          </w:p>
        </w:tc>
        <w:tc>
          <w:tcPr>
            <w:tcW w:type="dxa" w:w="2018"/>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+$4,104</w:t>
            </w:r>
          </w:p>
        </w:tc>
      </w:tr>
      <w:tr>
        <w:trPr>
          <w:cantSplit/>
          <w:trHeight w:val="397" w:hRule="atLeast"/>
        </w:trPr>
        <w:tc>
          <w:tcPr>
            <w:tcW w:type="dxa" w:w="4037"/>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After-tax position</w:t>
            </w: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-$3,650</w:t>
            </w: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-$22,050</w:t>
            </w:r>
          </w:p>
        </w:tc>
        <w:tc>
          <w:tcPr>
            <w:tcW w:type="dxa" w:w="2018"/>
            <w:tcBorders>
              <w:top w:val="nil"/>
              <w:left w:val="nil"/>
              <w:bottom w:val="single" w:sz="8" w:space="0" w:color="1D6FE0"/>
              <w:right w:val="nil"/>
            </w:tcBorders>
            <w:shd w:val="clear" w:color="auto" w:fill="DCE8FB"/>
            <w:tcMar>
              <w:top w:w="118" w:type="dxa"/>
              <w:left w:w="165" w:type="dxa"/>
              <w:bottom w:w="118" w:type="dxa"/>
              <w:right w:w="165" w:type="dxa"/>
            </w:tcMar>
            <w:vAlign w:val="top"/>
          </w:tcPr>
          <w:p>
            <w:pPr>
              <w:keepNext w:val="0"/>
              <w:keepLines/>
              <w:pageBreakBefore w:val="0"/>
              <w:widowControl w:val="1"/>
              <w:spacing w:before="0" w:after="0" w:line="293" w:lineRule="auto"/>
              <w:jc w:val="right"/>
            </w:pPr>
            <w:r>
              <w:rPr>
                <w:rFonts w:ascii="Calibri" w:hAnsi="Calibri" w:cs="Calibri" w:eastAsia="Calibri"/>
                <w:b/>
                <w:i w:val="0"/>
                <w:color w:val="0C2340"/>
                <w:sz w:val="17"/>
                <w:u w:val="none"/>
              </w:rPr>
              <w:t>-$18,400</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07   </w:t>
      </w:r>
      <w:r>
        <w:rPr>
          <w:rFonts w:ascii="Georgia" w:hAnsi="Georgia" w:cs="Georgia" w:eastAsia="Georgia"/>
          <w:b w:val="0"/>
          <w:i w:val="0"/>
          <w:color w:val="0C2340"/>
          <w:spacing w:val="2"/>
          <w:sz w:val="34"/>
          <w:u w:val="none"/>
        </w:rPr>
        <w:t>Opportunities &amp; risks</w:t>
      </w:r>
    </w:p>
    <w:p>
      <w:pPr>
        <w:keepNext/>
        <w:keepLines/>
        <w:pageBreakBefore w:val="0"/>
        <w:widowControl w:val="1"/>
        <w:spacing w:before="0" w:after="100"/>
      </w:pPr>
      <w:r>
        <w:rPr>
          <w:rFonts w:ascii="Calibri" w:hAnsi="Calibri" w:cs="Calibri" w:eastAsia="Calibri"/>
          <w:b/>
          <w:i w:val="0"/>
          <w:caps w:val="1"/>
          <w:color w:val="4C5B73"/>
          <w:spacing w:val="36"/>
          <w:sz w:val="15"/>
          <w:u w:val="none"/>
        </w:rPr>
        <w:t>What to act 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6"/>
          <w:sz w:val="15"/>
          <w:u w:val="none"/>
        </w:rPr>
        <w:t>Opportunities &amp; 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pportunities &amp; 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18" w:type="dxa"/>
              <w:left w:w="165" w:type="dxa"/>
              <w:bottom w:w="118" w:type="dxa"/>
              <w:right w:w="165"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21 Test Road has underperformed for two consecutive years</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LVR above 100%, eleven weeks vacant, and a facility reverting to P&amp;I in March. Decide this year: dispose, or re-let and refinance with a documented three-year hold thesis.</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F4 reverts to principal and interest in March 2027</w:t>
            </w:r>
          </w:p>
        </w:tc>
        <w:tc>
          <w:tcPr>
            <w:tcW w:type="dxa" w:w="1413"/>
            <w:tcBorders>
              <w:top w:val="nil"/>
              <w:left w:val="nil"/>
              <w:bottom w:val="single" w:sz="4" w:space="0" w:color="DCE3ED"/>
              <w:right w:val="nil"/>
            </w:tcBorders>
            <w:shd w:val="clear" w:color="auto" w:fill="FBECEA"/>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Adds approximately $22,000 a year to outgoings on the portfolio's weakest asset. Refinance or extend the interest-only period before December.</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$284,000 of usable equity is idle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Sitting in 4 Example Street and 12 Sample Avenue at LVRs around 32%. Deployable into a fifth acquisition without breaching the 70% portfolio LVR constraint.</w:t>
            </w:r>
          </w:p>
        </w:tc>
      </w:tr>
      <w:tr>
        <w:trPr>
          <w:cantSplit/>
        </w:trPr>
        <w:tc>
          <w:tcPr>
            <w:tcW w:type="dxa" w:w="4037"/>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Portfolio yield of 3.8% cannot fund further acquisition from income</w:t>
            </w:r>
          </w:p>
        </w:tc>
        <w:tc>
          <w:tcPr>
            <w:tcW w:type="dxa" w:w="1413"/>
            <w:tcBorders>
              <w:top w:val="nil"/>
              <w:left w:val="nil"/>
              <w:bottom w:val="single" w:sz="4" w:space="0" w:color="DCE3ED"/>
              <w:right w:val="nil"/>
            </w:tcBorders>
            <w:shd w:val="clear" w:color="auto" w:fill="FBF1E0"/>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Any fifth acquisition must be yield-accretive or funded from external income. Target a minimum 4.5% gross.</w:t>
            </w:r>
          </w:p>
        </w:tc>
      </w:tr>
    </w:tbl>
    <w:p>
      <w:pPr>
        <w:keepNext w:val="0"/>
        <w:keepLines/>
        <w:pageBreakBefore w:val="0"/>
        <w:widowControl w:val="1"/>
        <w:spacing w:before="0" w:after="0" w:line="240" w:lineRule="exact"/>
      </w:pPr>
      <w:r>
        <w:rPr>
          <w:sz w:val="2"/>
        </w:rPr>
      </w:r>
    </w:p>
    <w:p>
      <w:pPr>
        <w:keepNext/>
        <w:keepLines/>
        <w:pageBreakBefore w:val="0"/>
        <w:widowControl w:val="1"/>
        <w:spacing w:before="0" w:after="60"/>
      </w:pPr>
      <w:r>
        <w:rPr>
          <w:rFonts w:ascii="Georgia" w:hAnsi="Georgia" w:cs="Georgia" w:eastAsia="Georgia"/>
          <w:b w:val="0"/>
          <w:i w:val="0"/>
          <w:color w:val="1D6FE0"/>
          <w:spacing w:val="2"/>
          <w:sz w:val="34"/>
          <w:u w:val="none"/>
        </w:rPr>
        <w:t xml:space="preserve">08   </w:t>
      </w:r>
      <w:r>
        <w:rPr>
          <w:rFonts w:ascii="Georgia" w:hAnsi="Georgia" w:cs="Georgia" w:eastAsia="Georgia"/>
          <w:b w:val="0"/>
          <w:i w:val="0"/>
          <w:color w:val="0C2340"/>
          <w:spacing w:val="2"/>
          <w:sz w:val="34"/>
          <w:u w:val="none"/>
        </w:rPr>
        <w:t>Recommended actions</w:t>
      </w:r>
    </w:p>
    <w:p>
      <w:pPr>
        <w:keepNext/>
        <w:keepLines/>
        <w:pageBreakBefore w:val="0"/>
        <w:widowControl w:val="1"/>
        <w:spacing w:before="0" w:after="100"/>
      </w:pPr>
      <w:r>
        <w:rPr>
          <w:rFonts w:ascii="Calibri" w:hAnsi="Calibri" w:cs="Calibri" w:eastAsia="Calibri"/>
          <w:b/>
          <w:i w:val="0"/>
          <w:caps w:val="1"/>
          <w:color w:val="4C5B73"/>
          <w:spacing w:val="36"/>
          <w:sz w:val="15"/>
          <w:u w:val="none"/>
        </w:rPr>
        <w:t>For the coming year</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6"/>
          <w:sz w:val="15"/>
          <w:u w:val="none"/>
        </w:rPr>
        <w:t>Actions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D6FE0"/>
              <w:right w:val="nil"/>
            </w:tcBorders>
            <w:shd w:val="clear" w:color="auto" w:fill="0C2340"/>
            <w:tcMar>
              <w:top w:w="118" w:type="dxa"/>
              <w:left w:w="165" w:type="dxa"/>
              <w:bottom w:w="118" w:type="dxa"/>
              <w:right w:w="165"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Decide on 21 Test Road by 30 September — dispose or commit to a documented hold.</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Refinance or extend the interest-only period on F4 before December.</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Obtain valuations on 4 Example Street and 12 Sample Avenue to confirm usable equity.</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the management arrangement on 21 Test Road — eleven weeks vacant is not a market outcome.</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If proceeding to a fifth acquisition, set a minimum gross yield of 4.5%.</w:t>
            </w:r>
          </w:p>
        </w:tc>
        <w:tc>
          <w:tcPr>
            <w:tcW w:type="dxa" w:w="1774"/>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nil"/>
              <w:bottom w:val="single" w:sz="4" w:space="0" w:color="DCE3ED"/>
              <w:right w:val="nil"/>
            </w:tcBorders>
            <w:shd w:val="clear" w:color="auto" w:fill="FFFFFF"/>
            <w:tcMar>
              <w:top w:w="118" w:type="dxa"/>
              <w:left w:w="165" w:type="dxa"/>
              <w:bottom w:w="118" w:type="dxa"/>
              <w:right w:w="165"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Reviewed with the 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D6FE0"/>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C2340"/>
                <w:spacing w:val="36"/>
                <w:sz w:val="16"/>
                <w:u w:val="none"/>
              </w:rPr>
              <w:t>For the organisation</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C2340"/>
          <w:spacing w:val="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3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24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Disclaimer</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Privacy</w:t>
      </w:r>
    </w:p>
    <w:p>
      <w:pPr>
        <w:keepNext w:val="0"/>
        <w:keepLines/>
        <w:pageBreakBefore w:val="0"/>
        <w:widowControl w:val="1"/>
        <w:spacing w:before="0" w:after="0" w:line="341"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C2340"/>
          <w:sz w:val="21"/>
          <w:u w:val="none"/>
        </w:rPr>
        <w:t>Terms of use</w:t>
      </w:r>
    </w:p>
    <w:p>
      <w:pPr>
        <w:keepNext w:val="0"/>
        <w:keepLines/>
        <w:pageBreakBefore w:val="0"/>
        <w:widowControl w:val="1"/>
        <w:spacing w:before="0" w:after="0" w:line="341"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6"/>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6"/>
              <w:sz w:val="14"/>
              <w:u w:val="none"/>
            </w:rPr>
            <w:t>Portfolio Review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41"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Review Report</dc:title>
  <dc:subject>Periodic review of a client's whole property portfolio: performance, equity, debt, cash flow and recommended actions per asset.</dc:subject>
  <dc:creator>Aurixa Systems</dc:creator>
  <cp:keywords>Portfolio review, Annual review, Asset review,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