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C2CDDC"/>
              <w:left w:val="single" w:sz="6" w:space="0" w:color="C2CDDC"/>
              <w:bottom w:val="single" w:sz="6" w:space="0" w:color="C2CDDC"/>
              <w:right w:val="single" w:sz="6" w:space="0" w:color="C2CDDC"/>
            </w:tcBorders>
            <w:shd w:val="clear" w:color="auto" w:fill="EDF1F7"/>
            <w:tcMar>
              <w:top w:w="1150" w:type="dxa"/>
              <w:left w:w="200" w:type="dxa"/>
              <w:bottom w:w="1150" w:type="dxa"/>
              <w:right w:w="20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32"/>
                <w:sz w:val="15"/>
                <w:u w:val="none"/>
              </w:rPr>
              <w:t>[  COVER IMAGE  —  1600 × 900 px minimum  ]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{{report.coverCaption}}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6690" w:hRule="atLeast"/>
        </w:trPr>
        <w:tc>
          <w:tcPr>
            <w:tcW w:type="dxa" w:w="10091"/>
            <w:tcBorders>
              <w:top w:val="single" w:sz="10" w:space="0" w:color="12B0CE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2B0CE"/>
                    <w:left w:val="dashed" w:sz="8" w:space="0" w:color="12B0CE"/>
                    <w:bottom w:val="dashed" w:sz="8" w:space="0" w:color="12B0CE"/>
                    <w:right w:val="dashed" w:sz="8" w:space="0" w:color="12B0CE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36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60"/>
                <w:sz w:val="16"/>
                <w:u w:val="none"/>
              </w:rPr>
              <w:t>Shortlist assessment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pacing w:val="-4"/>
                <w:sz w:val="60"/>
                <w:u w:val="none"/>
              </w:rPr>
              <w:t>{{report.title}}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{{report.subtitle}}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8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72"/>
              <w:gridCol w:w="2872"/>
              <w:gridCol w:w="2872"/>
            </w:tblGrid>
            <w:tr>
              <w:trPr>
                <w:cantSplit/>
              </w:trPr>
              <w:tc>
                <w:tcPr>
                  <w:tcW w:type="dxa" w:w="2872"/>
                  <w:tcBorders>
                    <w:top w:val="single" w:sz="4" w:space="0" w:color="12B0CE"/>
                    <w:left w:val="single" w:sz="4" w:space="0" w:color="12B0CE"/>
                    <w:bottom w:val="single" w:sz="4" w:space="0" w:color="12B0CE"/>
                    <w:right w:val="single" w:sz="4" w:space="0" w:color="12B0CE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28"/>
                      <w:sz w:val="14"/>
                      <w:u w:val="none"/>
                    </w:rPr>
                    <w:t>3 PROPERTIES</w:t>
                  </w:r>
                </w:p>
              </w:tc>
              <w:tc>
                <w:tcPr>
                  <w:tcW w:type="dxa" w:w="2872"/>
                  <w:tcBorders>
                    <w:top w:val="single" w:sz="4" w:space="0" w:color="12B0CE"/>
                    <w:left w:val="single" w:sz="4" w:space="0" w:color="12B0CE"/>
                    <w:bottom w:val="single" w:sz="4" w:space="0" w:color="12B0CE"/>
                    <w:right w:val="single" w:sz="4" w:space="0" w:color="12B0CE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28"/>
                      <w:sz w:val="14"/>
                      <w:u w:val="none"/>
                    </w:rPr>
                    <w:t>WEIGHTED</w:t>
                  </w:r>
                </w:p>
              </w:tc>
              <w:tc>
                <w:tcPr>
                  <w:tcW w:type="dxa" w:w="2872"/>
                  <w:tcBorders>
                    <w:top w:val="single" w:sz="4" w:space="0" w:color="12B0CE"/>
                    <w:left w:val="single" w:sz="4" w:space="0" w:color="12B0CE"/>
                    <w:bottom w:val="single" w:sz="4" w:space="0" w:color="12B0CE"/>
                    <w:right w:val="single" w:sz="4" w:space="0" w:color="12B0CE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28"/>
                      <w:sz w:val="14"/>
                      <w:u w:val="none"/>
                    </w:rPr>
                    <w:t>RANKED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{{document.reference}}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{{document.version}}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01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How to read this report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Method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B4CDF3"/>
              <w:left w:val="single" w:sz="18" w:space="0" w:color="1554AE"/>
              <w:bottom w:val="single" w:sz="4" w:space="0" w:color="B4CDF3"/>
              <w:right w:val="single" w:sz="4" w:space="0" w:color="B4CDF3"/>
            </w:tcBorders>
            <w:shd w:val="clear" w:color="auto" w:fill="EAF1FC"/>
            <w:tcMar>
              <w:top w:w="171" w:type="dxa"/>
              <w:left w:w="199" w:type="dxa"/>
              <w:bottom w:w="171" w:type="dxa"/>
              <w:right w:w="19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554AE"/>
                <w:spacing w:val="28"/>
                <w:sz w:val="15"/>
                <w:u w:val="none"/>
              </w:rPr>
              <w:t>Criteria and weighting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{{report.method}}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554A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{{criteria.weights[0]}}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554A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{{criteria.weights[1]}}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554A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{{criteria.weights[2]}}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02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Comparison at a glance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Every attribute, side by side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8"/>
          <w:sz w:val="15"/>
          <w:u w:val="none"/>
        </w:rPr>
        <w:t>Shortlist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Shortlist"/>
        <w:tblDescription w:val="Compares: {{properties.0.short}}, {{properties.1.short}}, {{properties.2.short}}"/>
      </w:tblPr>
      <w:tblGrid>
        <w:gridCol w:w="2624"/>
        <w:gridCol w:w="2489"/>
        <w:gridCol w:w="2489"/>
        <w:gridCol w:w="2489"/>
      </w:tblGrid>
      <w:tr>
        <w:trPr>
          <w:cantSplit/>
          <w:trHeight w:val="510" w:hRule="atLeast"/>
          <w:tblHeader/>
        </w:trPr>
        <w:tc>
          <w:tcPr>
            <w:tcW w:type="dxa" w:w="2624"/>
            <w:tcBorders>
              <w:top w:val="nil"/>
              <w:left w:val="nil"/>
              <w:bottom w:val="single" w:sz="8" w:space="0" w:color="12B0CE"/>
              <w:right w:val="single" w:sz="16" w:space="0" w:color="FFFFFF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2B0CE"/>
              <w:right w:val="single" w:sz="16" w:space="0" w:color="FFFFFF"/>
            </w:tcBorders>
            <w:shd w:val="clear" w:color="auto" w:fill="12B0CE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{{properties.0.short}}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2B0CE"/>
              <w:right w:val="single" w:sz="16" w:space="0" w:color="FFFFFF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{{properties.1.short}}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{{properties.2.short}}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Price guide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EFA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$860,000 – $880,000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$900,000 – $930,000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$780,000 – $810,000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Land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EFA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512 m²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430 m²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604 m²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Accommodation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EFA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3 · 1 · 2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3 · 2 · 1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3 · 1 · 1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Appraised rent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EFA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$765/wk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$730/wk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$700/wk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Gross yield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EFA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4.6%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4.1%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4.5%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Distance to CBD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EFA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11.2 km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9.8 km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14.6 km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Distance to station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EFA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900 m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450 m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2.1 km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Condition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EFA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Original, sound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Renovated 2023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Original, damp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10-year suburb growth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EFA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6.1% p.a.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5.8% p.a.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5.2% p.a.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Tenancy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EFA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Fixed to Nov 2026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Vacant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Periodic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Est. cash required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EFA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$212,400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$226,800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$194,600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Weighted score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EFA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8.4 / 10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7.1 / 10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6.3 / 10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03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Scoring summary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Weighted outcome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8"/>
          <w:sz w:val="15"/>
          <w:u w:val="none"/>
        </w:rPr>
        <w:t>Weighted score out of 10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826"/>
        <w:gridCol w:w="5651"/>
        <w:gridCol w:w="1615"/>
      </w:tblGrid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{{property.short}}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26"/>
              <w:gridCol w:w="2826"/>
            </w:tblGrid>
            <w:tr>
              <w:trPr>
                <w:cantSplit/>
              </w:trPr>
              <w:tc>
                <w:tcPr>
                  <w:tcW w:type="dxa" w:w="2826"/>
                  <w:shd w:val="clear" w:color="auto" w:fill="0C234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2826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{{property.score}}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{{property.short}}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26"/>
              <w:gridCol w:w="2826"/>
            </w:tblGrid>
            <w:tr>
              <w:trPr>
                <w:cantSplit/>
              </w:trPr>
              <w:tc>
                <w:tcPr>
                  <w:tcW w:type="dxa" w:w="2826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2826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{{property.score}}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{{property.short}}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826"/>
              <w:gridCol w:w="2826"/>
            </w:tblGrid>
            <w:tr>
              <w:trPr>
                <w:cantSplit/>
              </w:trPr>
              <w:tc>
                <w:tcPr>
                  <w:tcW w:type="dxa" w:w="2826"/>
                  <w:shd w:val="clear" w:color="auto" w:fill="12B0CE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2826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{{property.score}}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Scores are the weighted sum of the seven criteria above. They express our assessment against your brief, not market value.</w:t>
      </w:r>
    </w:p>
    <w:p>
      <w:pPr>
        <w:keepNext w:val="0"/>
        <w:keepLines/>
        <w:pageBreakBefore w:val="0"/>
        <w:widowControl w:val="1"/>
        <w:spacing w:before="0" w:after="0" w:line="126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8"/>
          <w:sz w:val="15"/>
          <w:u w:val="none"/>
        </w:rPr>
        <w:t>Score by criterion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Score by criterion"/>
        <w:tblDescription w:val="Columns: Criterion, Weight, 12 Example St, 48 Sample Ave, 9 Test Rd"/>
      </w:tblPr>
      <w:tblGrid>
        <w:gridCol w:w="2948"/>
        <w:gridCol w:w="1361"/>
        <w:gridCol w:w="1928"/>
        <w:gridCol w:w="1928"/>
        <w:gridCol w:w="1928"/>
      </w:tblGrid>
      <w:tr>
        <w:trPr>
          <w:cantSplit/>
          <w:trHeight w:val="420" w:hRule="atLeast"/>
          <w:tblHeader/>
        </w:trPr>
        <w:tc>
          <w:tcPr>
            <w:tcW w:type="dxa" w:w="294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Criterion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Weight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12 Example St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48 Sample Ave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9 Test Rd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{{criterion}}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{{weight}}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{{criterion}}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{{weight}}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{{criterion}}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{{weight}}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{{criterion}}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{{weight}}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{{criterion}}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{{weight}}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{{criterion}}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{{weight}}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Weighted score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100%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8.4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7.1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6.3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04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Property profiles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One block per property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Option 1 — {{property.address}}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2381" w:hRule="atLeast"/>
        </w:trPr>
        <w:tc>
          <w:tcPr>
            <w:tcW w:type="dxa" w:w="10091"/>
            <w:shd w:val="clear" w:color="auto" w:fill="EDF1F7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32"/>
                <w:sz w:val="15"/>
                <w:u w:val="none"/>
              </w:rPr>
              <w:t>[  {{PROPERTY.ADDRESS}}  ]</w:t>
            </w:r>
          </w:p>
        </w:tc>
      </w:tr>
    </w:tbl>
    <w:p>
      <w:pPr>
        <w:keepNext w:val="0"/>
        <w:keepLines/>
        <w:pageBreakBefore w:val="0"/>
        <w:widowControl w:val="1"/>
        <w:spacing w:before="60" w:after="0" w:line="293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{{properties.caption}}   ·   Alt text: Street elevation of {{property.address}}</w:t>
      </w:r>
    </w:p>
    <w:p>
      <w:pPr>
        <w:keepNext w:val="0"/>
        <w:keepLines/>
        <w:pageBreakBefore w:val="0"/>
        <w:widowControl w:val="1"/>
        <w:spacing w:before="0" w:after="0" w:line="72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il"/>
              <w:left w:val="nil"/>
              <w:bottom w:val="nil"/>
              <w:right w:val="single" w:sz="30" w:space="0" w:color="FFFFFF"/>
            </w:tcBorders>
            <w:shd w:val="clear" w:color="auto" w:fill="0F8A5F"/>
            <w:tcMar>
              <w:top w:w="95" w:type="dxa"/>
              <w:left w:w="133" w:type="dxa"/>
              <w:bottom w:w="95" w:type="dxa"/>
              <w:right w:w="133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 w:line="276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8"/>
                <w:sz w:val="16"/>
                <w:u w:val="none"/>
              </w:rPr>
              <w:t>Strengths</w:t>
            </w:r>
          </w:p>
        </w:tc>
        <w:tc>
          <w:tcPr>
            <w:tcW w:type="dxa" w:w="5046"/>
            <w:tcBorders>
              <w:top w:val="nil"/>
              <w:left w:val="nil"/>
              <w:bottom w:val="nil"/>
              <w:right w:val="nil"/>
            </w:tcBorders>
            <w:shd w:val="clear" w:color="auto" w:fill="B3261E"/>
            <w:tcMar>
              <w:top w:w="95" w:type="dxa"/>
              <w:left w:w="133" w:type="dxa"/>
              <w:bottom w:w="95" w:type="dxa"/>
              <w:right w:w="133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 w:line="276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8"/>
                <w:sz w:val="16"/>
                <w:u w:val="none"/>
              </w:rPr>
              <w:t>Concerns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il"/>
              <w:left w:val="nil"/>
              <w:bottom w:val="single" w:sz="4" w:space="0" w:color="DCE3ED"/>
              <w:right w:val="single" w:sz="30" w:space="0" w:color="FFFFFF"/>
            </w:tcBorders>
            <w:shd w:val="clear" w:color="auto" w:fill="E6F6EF"/>
            <w:tcMar>
              <w:top w:w="135" w:type="dxa"/>
              <w:left w:w="133" w:type="dxa"/>
              <w:bottom w:w="135" w:type="dxa"/>
              <w:right w:w="13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0F8A5F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{{property.strengths}}</w:t>
            </w:r>
          </w:p>
        </w:tc>
        <w:tc>
          <w:tcPr>
            <w:tcW w:type="dxa" w:w="504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ECEA"/>
            <w:tcMar>
              <w:top w:w="135" w:type="dxa"/>
              <w:left w:w="133" w:type="dxa"/>
              <w:bottom w:w="135" w:type="dxa"/>
              <w:right w:w="13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B3261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{{property.concerns}}</w:t>
            </w:r>
          </w:p>
        </w:tc>
      </w:tr>
    </w:tbl>
    <w:p>
      <w:pPr>
        <w:keepNext/>
        <w:keepLines/>
        <w:pageBreakBefore w:val="0"/>
        <w:widowControl w:val="1"/>
        <w:spacing w:before="20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Option 2 — {{property.address}}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2381" w:hRule="atLeast"/>
        </w:trPr>
        <w:tc>
          <w:tcPr>
            <w:tcW w:type="dxa" w:w="10091"/>
            <w:shd w:val="clear" w:color="auto" w:fill="EDF1F7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32"/>
                <w:sz w:val="15"/>
                <w:u w:val="none"/>
              </w:rPr>
              <w:t>[  {{PROPERTY.ADDRESS}}  ]</w:t>
            </w:r>
          </w:p>
        </w:tc>
      </w:tr>
    </w:tbl>
    <w:p>
      <w:pPr>
        <w:keepNext w:val="0"/>
        <w:keepLines/>
        <w:pageBreakBefore w:val="0"/>
        <w:widowControl w:val="1"/>
        <w:spacing w:before="60" w:after="0" w:line="293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{{properties.caption}}   ·   Alt text: Street elevation of {{property.address}}</w:t>
      </w:r>
    </w:p>
    <w:p>
      <w:pPr>
        <w:keepNext w:val="0"/>
        <w:keepLines/>
        <w:pageBreakBefore w:val="0"/>
        <w:widowControl w:val="1"/>
        <w:spacing w:before="0" w:after="0" w:line="72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il"/>
              <w:left w:val="nil"/>
              <w:bottom w:val="nil"/>
              <w:right w:val="single" w:sz="30" w:space="0" w:color="FFFFFF"/>
            </w:tcBorders>
            <w:shd w:val="clear" w:color="auto" w:fill="0F8A5F"/>
            <w:tcMar>
              <w:top w:w="95" w:type="dxa"/>
              <w:left w:w="133" w:type="dxa"/>
              <w:bottom w:w="95" w:type="dxa"/>
              <w:right w:w="133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 w:line="276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8"/>
                <w:sz w:val="16"/>
                <w:u w:val="none"/>
              </w:rPr>
              <w:t>Strengths</w:t>
            </w:r>
          </w:p>
        </w:tc>
        <w:tc>
          <w:tcPr>
            <w:tcW w:type="dxa" w:w="5046"/>
            <w:tcBorders>
              <w:top w:val="nil"/>
              <w:left w:val="nil"/>
              <w:bottom w:val="nil"/>
              <w:right w:val="nil"/>
            </w:tcBorders>
            <w:shd w:val="clear" w:color="auto" w:fill="B3261E"/>
            <w:tcMar>
              <w:top w:w="95" w:type="dxa"/>
              <w:left w:w="133" w:type="dxa"/>
              <w:bottom w:w="95" w:type="dxa"/>
              <w:right w:w="133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 w:line="276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8"/>
                <w:sz w:val="16"/>
                <w:u w:val="none"/>
              </w:rPr>
              <w:t>Concerns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il"/>
              <w:left w:val="nil"/>
              <w:bottom w:val="single" w:sz="4" w:space="0" w:color="DCE3ED"/>
              <w:right w:val="single" w:sz="30" w:space="0" w:color="FFFFFF"/>
            </w:tcBorders>
            <w:shd w:val="clear" w:color="auto" w:fill="E6F6EF"/>
            <w:tcMar>
              <w:top w:w="135" w:type="dxa"/>
              <w:left w:w="133" w:type="dxa"/>
              <w:bottom w:w="135" w:type="dxa"/>
              <w:right w:w="13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0F8A5F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{{property.strengths}}</w:t>
            </w:r>
          </w:p>
        </w:tc>
        <w:tc>
          <w:tcPr>
            <w:tcW w:type="dxa" w:w="504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ECEA"/>
            <w:tcMar>
              <w:top w:w="135" w:type="dxa"/>
              <w:left w:w="133" w:type="dxa"/>
              <w:bottom w:w="135" w:type="dxa"/>
              <w:right w:w="13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B3261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{{property.concerns}}</w:t>
            </w:r>
          </w:p>
        </w:tc>
      </w:tr>
    </w:tbl>
    <w:p>
      <w:pPr>
        <w:keepNext/>
        <w:keepLines/>
        <w:pageBreakBefore w:val="0"/>
        <w:widowControl w:val="1"/>
        <w:spacing w:before="20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Option 3 — {{property.address}}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2381" w:hRule="atLeast"/>
        </w:trPr>
        <w:tc>
          <w:tcPr>
            <w:tcW w:type="dxa" w:w="10091"/>
            <w:shd w:val="clear" w:color="auto" w:fill="EDF1F7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32"/>
                <w:sz w:val="15"/>
                <w:u w:val="none"/>
              </w:rPr>
              <w:t>[  {{PROPERTY.ADDRESS}}  ]</w:t>
            </w:r>
          </w:p>
        </w:tc>
      </w:tr>
    </w:tbl>
    <w:p>
      <w:pPr>
        <w:keepNext w:val="0"/>
        <w:keepLines/>
        <w:pageBreakBefore w:val="0"/>
        <w:widowControl w:val="1"/>
        <w:spacing w:before="60" w:after="0" w:line="293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{{properties.caption}}   ·   Alt text: Street elevation of {{property.address}}</w:t>
      </w:r>
    </w:p>
    <w:p>
      <w:pPr>
        <w:keepNext w:val="0"/>
        <w:keepLines/>
        <w:pageBreakBefore w:val="0"/>
        <w:widowControl w:val="1"/>
        <w:spacing w:before="0" w:after="0" w:line="72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il"/>
              <w:left w:val="nil"/>
              <w:bottom w:val="nil"/>
              <w:right w:val="single" w:sz="30" w:space="0" w:color="FFFFFF"/>
            </w:tcBorders>
            <w:shd w:val="clear" w:color="auto" w:fill="0F8A5F"/>
            <w:tcMar>
              <w:top w:w="95" w:type="dxa"/>
              <w:left w:w="133" w:type="dxa"/>
              <w:bottom w:w="95" w:type="dxa"/>
              <w:right w:w="133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 w:line="276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8"/>
                <w:sz w:val="16"/>
                <w:u w:val="none"/>
              </w:rPr>
              <w:t>Strengths</w:t>
            </w:r>
          </w:p>
        </w:tc>
        <w:tc>
          <w:tcPr>
            <w:tcW w:type="dxa" w:w="5046"/>
            <w:tcBorders>
              <w:top w:val="nil"/>
              <w:left w:val="nil"/>
              <w:bottom w:val="nil"/>
              <w:right w:val="nil"/>
            </w:tcBorders>
            <w:shd w:val="clear" w:color="auto" w:fill="B3261E"/>
            <w:tcMar>
              <w:top w:w="95" w:type="dxa"/>
              <w:left w:w="133" w:type="dxa"/>
              <w:bottom w:w="95" w:type="dxa"/>
              <w:right w:w="133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 w:line="276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8"/>
                <w:sz w:val="16"/>
                <w:u w:val="none"/>
              </w:rPr>
              <w:t>Concerns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il"/>
              <w:left w:val="nil"/>
              <w:bottom w:val="single" w:sz="4" w:space="0" w:color="DCE3ED"/>
              <w:right w:val="single" w:sz="30" w:space="0" w:color="FFFFFF"/>
            </w:tcBorders>
            <w:shd w:val="clear" w:color="auto" w:fill="E6F6EF"/>
            <w:tcMar>
              <w:top w:w="135" w:type="dxa"/>
              <w:left w:w="133" w:type="dxa"/>
              <w:bottom w:w="135" w:type="dxa"/>
              <w:right w:w="13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0F8A5F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{{property.strengths}}</w:t>
            </w:r>
          </w:p>
        </w:tc>
        <w:tc>
          <w:tcPr>
            <w:tcW w:type="dxa" w:w="5046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ECEA"/>
            <w:tcMar>
              <w:top w:w="135" w:type="dxa"/>
              <w:left w:w="133" w:type="dxa"/>
              <w:bottom w:w="135" w:type="dxa"/>
              <w:right w:w="13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B3261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{{property.concerns}}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05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Financial comparison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What each one costs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8"/>
          <w:sz w:val="15"/>
          <w:u w:val="none"/>
        </w:rPr>
        <w:t>Financial comparison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Financial comparison"/>
        <w:tblDescription w:val="Columns: Item, 12 Example St, 48 Sample Ave, 9 Test Rd"/>
      </w:tblPr>
      <w:tblGrid>
        <w:gridCol w:w="3510"/>
        <w:gridCol w:w="2194"/>
        <w:gridCol w:w="2194"/>
        <w:gridCol w:w="2194"/>
      </w:tblGrid>
      <w:tr>
        <w:trPr>
          <w:cantSplit/>
          <w:trHeight w:val="420" w:hRule="atLeast"/>
          <w:tblHeader/>
        </w:trPr>
        <w:tc>
          <w:tcPr>
            <w:tcW w:type="dxa" w:w="3510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Item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12 Example St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48 Sample Ave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9 Test Rd</w:t>
            </w:r>
          </w:p>
        </w:tc>
      </w:tr>
      <w:tr>
        <w:trPr>
          <w:cantSplit/>
          <w:trHeight w:val="397" w:hRule="atLeast"/>
        </w:trPr>
        <w:tc>
          <w:tcPr>
            <w:tcW w:type="dxa" w:w="35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{{c}}</w:t>
            </w:r>
          </w:p>
        </w:tc>
      </w:tr>
      <w:tr>
        <w:trPr>
          <w:cantSplit/>
          <w:trHeight w:val="397" w:hRule="atLeast"/>
        </w:trPr>
        <w:tc>
          <w:tcPr>
            <w:tcW w:type="dxa" w:w="35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{{c}}</w:t>
            </w:r>
          </w:p>
        </w:tc>
      </w:tr>
      <w:tr>
        <w:trPr>
          <w:cantSplit/>
          <w:trHeight w:val="397" w:hRule="atLeast"/>
        </w:trPr>
        <w:tc>
          <w:tcPr>
            <w:tcW w:type="dxa" w:w="35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{{c}}</w:t>
            </w:r>
          </w:p>
        </w:tc>
      </w:tr>
      <w:tr>
        <w:trPr>
          <w:cantSplit/>
          <w:trHeight w:val="397" w:hRule="atLeast"/>
        </w:trPr>
        <w:tc>
          <w:tcPr>
            <w:tcW w:type="dxa" w:w="35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{{c}}</w:t>
            </w:r>
          </w:p>
        </w:tc>
      </w:tr>
      <w:tr>
        <w:trPr>
          <w:cantSplit/>
          <w:trHeight w:val="397" w:hRule="atLeast"/>
        </w:trPr>
        <w:tc>
          <w:tcPr>
            <w:tcW w:type="dxa" w:w="35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{{c}}</w:t>
            </w:r>
          </w:p>
        </w:tc>
      </w:tr>
      <w:tr>
        <w:trPr>
          <w:cantSplit/>
          <w:trHeight w:val="397" w:hRule="atLeast"/>
        </w:trPr>
        <w:tc>
          <w:tcPr>
            <w:tcW w:type="dxa" w:w="351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{{b}}</w:t>
            </w:r>
          </w:p>
        </w:tc>
        <w:tc>
          <w:tcPr>
            <w:tcW w:type="dxa" w:w="21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Assumes 80% LVR at 6.40% interest only, and a 39% marginal tax rate.</w:t>
      </w:r>
    </w:p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3515" w:hRule="atLeast"/>
        </w:trPr>
        <w:tc>
          <w:tcPr>
            <w:tcW w:type="dxa" w:w="10091"/>
            <w:shd w:val="clear" w:color="auto" w:fill="EDF1F7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32"/>
                <w:sz w:val="15"/>
                <w:u w:val="none"/>
              </w:rPr>
              <w:t>[  ALL THREE PROPERTIES MAP  ]</w:t>
            </w:r>
          </w:p>
        </w:tc>
      </w:tr>
    </w:tbl>
    <w:p>
      <w:pPr>
        <w:keepNext w:val="0"/>
        <w:keepLines/>
        <w:pageBreakBefore w:val="0"/>
        <w:widowControl w:val="1"/>
        <w:spacing w:before="60" w:after="0" w:line="293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Alt text: Map showing all three shortlisted properties relative to transport and the CBD</w:t>
      </w:r>
    </w:p>
    <w:p>
      <w:pPr>
        <w:keepNext w:val="0"/>
        <w:keepLines/>
        <w:pageBreakBefore w:val="0"/>
        <w:widowControl w:val="1"/>
        <w:spacing w:before="0" w:after="0" w:line="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 xml:space="preserve">①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12 Example St</w:t>
            </w:r>
          </w:p>
        </w:tc>
        <w:tc>
          <w:tcPr>
            <w:tcW w:type="dxa" w:w="2523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7"/>
                <w:u w:val="none"/>
              </w:rPr>
              <w:t xml:space="preserve">②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48 Sample Ave</w:t>
            </w:r>
          </w:p>
        </w:tc>
        <w:tc>
          <w:tcPr>
            <w:tcW w:type="dxa" w:w="2523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③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9 Test Rd</w:t>
            </w:r>
          </w:p>
        </w:tc>
        <w:tc>
          <w:tcPr>
            <w:tcW w:type="dxa" w:w="2523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5B96EB"/>
                <w:sz w:val="17"/>
                <w:u w:val="none"/>
              </w:rPr>
              <w:t xml:space="preserve">▲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Rail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12B0CE"/>
              <w:left w:val="single" w:sz="26" w:space="0" w:color="12B0CE"/>
              <w:bottom w:val="single" w:sz="6" w:space="0" w:color="12B0CE"/>
              <w:right w:val="single" w:sz="6" w:space="0" w:color="12B0CE"/>
            </w:tcBorders>
            <w:shd w:val="clear" w:color="auto" w:fill="EEFAFC"/>
            <w:tcMar>
              <w:top w:w="171" w:type="dxa"/>
              <w:left w:w="199" w:type="dxa"/>
              <w:bottom w:w="171" w:type="dxa"/>
              <w:right w:w="19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5"/>
                <w:u w:val="none"/>
              </w:rPr>
              <w:t>RECOMMENDATION</w:t>
            </w: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4"/>
                <w:u w:val="none"/>
              </w:rPr>
              <w:t xml:space="preserve">     CONFIDENCE: {{REPORT.CONFIDENCE}}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2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2"/>
                <w:u w:val="none"/>
              </w:rPr>
              <w:t>{{report.recommendation}}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{{report.rationale}}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4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8"/>
                <w:sz w:val="15"/>
                <w:u w:val="none"/>
              </w:rPr>
              <w:t>Next steps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0" w:after="0" w:line="31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>1.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{{report.nextSteps[0]}}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1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>2.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{{report.nextSteps[1]}}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1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>3.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Important information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Disclaimer, privacy and terms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Disclaimer</w:t>
      </w:r>
    </w:p>
    <w:p>
      <w:pPr>
        <w:keepNext w:val="0"/>
        <w:keepLines/>
        <w:pageBreakBefore w:val="0"/>
        <w:widowControl w:val="1"/>
        <w:spacing w:before="0" w:after="0" w:line="31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{{legal.disclaimer}}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Privacy</w:t>
      </w:r>
    </w:p>
    <w:p>
      <w:pPr>
        <w:keepNext w:val="0"/>
        <w:keepLines/>
        <w:pageBreakBefore w:val="0"/>
        <w:widowControl w:val="1"/>
        <w:spacing w:before="0" w:after="0" w:line="31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{{legal.privacyNotice}}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Terms of use</w:t>
      </w:r>
    </w:p>
    <w:p>
      <w:pPr>
        <w:keepNext w:val="0"/>
        <w:keepLines/>
        <w:pageBreakBefore w:val="0"/>
        <w:widowControl w:val="1"/>
        <w:spacing w:before="0" w:after="0" w:line="31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{{legal.terms}}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2B0CE"/>
              <w:spacing w:val="28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2B0CE"/>
              <w:spacing w:val="28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2B0CE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8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2B0CE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8"/>
              <w:sz w:val="14"/>
              <w:u w:val="none"/>
            </w:rPr>
            <w:t>Property Comparison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17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Property Comparison Report</dc:title>
  <dc:subject>Two to five properties assessed side by side against a common set of attributes, with a ranked outcome.</dc:subject>
  <dc:creator>Aurixa Systems</dc:creator>
  <cp:keywords>Property comparison, Shortlist review, Options analysis, Property &amp; Buyer's Agency,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