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Internal — restricted</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Risk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Proposed referral arrangement with a third-party finance partner — inherent risk, controls, residual position and the decision.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RESTRICTED</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FOR DECISION</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01   </w:t>
      </w:r>
      <w:r>
        <w:rPr>
          <w:rFonts w:ascii="Calibri" w:hAnsi="Calibri" w:cs="Calibri" w:eastAsia="Calibri"/>
          <w:b w:val="0"/>
          <w:i w:val="0"/>
          <w:color w:val="0C2340"/>
          <w:sz w:val="34"/>
          <w:u w:val="none"/>
        </w:rPr>
        <w:t>Decision</w:t>
      </w:r>
    </w:p>
    <w:p>
      <w:pPr>
        <w:keepNext/>
        <w:keepLines/>
        <w:pageBreakBefore w:val="0"/>
        <w:widowControl w:val="1"/>
        <w:spacing w:before="0" w:after="100"/>
      </w:pPr>
      <w:r>
        <w:rPr>
          <w:rFonts w:ascii="Calibri" w:hAnsi="Calibri" w:cs="Calibri" w:eastAsia="Calibri"/>
          <w:b/>
          <w:i w:val="0"/>
          <w:caps w:val="1"/>
          <w:color w:val="4C5B73"/>
          <w:spacing w:val="26"/>
          <w:sz w:val="15"/>
          <w:u w:val="none"/>
        </w:rPr>
        <w:t>The outcome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DECISION</w:t>
            </w:r>
            <w:r>
              <w:rPr>
                <w:rFonts w:ascii="Calibri" w:hAnsi="Calibri" w:cs="Calibri" w:eastAsia="Calibri"/>
                <w:b/>
                <w:i w:val="0"/>
                <w:caps w:val="1"/>
                <w:color w:val="4C5B73"/>
                <w:spacing w:val="24"/>
                <w:sz w:val="14"/>
                <w:u w:val="none"/>
              </w:rPr>
              <w:t xml:space="preserve">     CONFIDENCE: RESIDUAL: LOW</w:t>
            </w:r>
          </w:p>
          <w:p>
            <w:pPr>
              <w:keepNext w:val="0"/>
              <w:keepLines/>
              <w:pageBreakBefore w:val="0"/>
              <w:widowControl w:val="1"/>
              <w:spacing w:before="0" w:after="120" w:line="298" w:lineRule="auto"/>
            </w:pPr>
            <w:r>
              <w:rPr>
                <w:rFonts w:ascii="Calibri" w:hAnsi="Calibri" w:cs="Calibri" w:eastAsia="Calibri"/>
                <w:b/>
                <w:i w:val="0"/>
                <w:color w:val="0C2340"/>
                <w:sz w:val="22"/>
                <w:u w:val="none"/>
              </w:rPr>
              <w:t>Accept with controls. Proceed with the arrangement subject to the four additional controls set out in section six.</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Inherent risk is assessed as high, driven by the disclosure obligation and the handling of client personal information. Existing controls reduce this to medium. The four additional controls in section six reduce it to low, at an implementation cost the arrangement comfortably supports.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Implement the four additional controls before the first referral.</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Set the review frequency to six months for the first year.</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Report the arrangement to the compliance committee at its next meeting.</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02   </w:t>
      </w:r>
      <w:r>
        <w:rPr>
          <w:rFonts w:ascii="Calibri" w:hAnsi="Calibri" w:cs="Calibri" w:eastAsia="Calibri"/>
          <w:b w:val="0"/>
          <w:i w:val="0"/>
          <w:color w:val="0C2340"/>
          <w:sz w:val="34"/>
          <w:u w:val="none"/>
        </w:rPr>
        <w:t>Context</w:t>
      </w:r>
    </w:p>
    <w:p>
      <w:pPr>
        <w:keepNext/>
        <w:keepLines/>
        <w:pageBreakBefore w:val="0"/>
        <w:widowControl w:val="1"/>
        <w:spacing w:before="0" w:after="100"/>
      </w:pPr>
      <w:r>
        <w:rPr>
          <w:rFonts w:ascii="Calibri" w:hAnsi="Calibri" w:cs="Calibri" w:eastAsia="Calibri"/>
          <w:b/>
          <w:i w:val="0"/>
          <w:caps w:val="1"/>
          <w:color w:val="4C5B73"/>
          <w:spacing w:val="26"/>
          <w:sz w:val="15"/>
          <w:u w:val="none"/>
        </w:rPr>
        <w:t>What is being assessed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Context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Subject</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Referral arrangement — finance partner</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Requested by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Head of Advice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requested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18/07/2026</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Assessor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 Patel, Compliance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Decision required by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15/08/2026</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Estimated volume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40–60 referrals per year</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Commercial value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Estimated $84,000 per year</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Related policies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Referral policy, privacy policy, conflicts policy</w:t>
                  </w:r>
                </w:p>
              </w:tc>
            </w:tr>
          </w:tbl>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03   </w:t>
      </w:r>
      <w:r>
        <w:rPr>
          <w:rFonts w:ascii="Calibri" w:hAnsi="Calibri" w:cs="Calibri" w:eastAsia="Calibri"/>
          <w:b w:val="0"/>
          <w:i w:val="0"/>
          <w:color w:val="0C2340"/>
          <w:sz w:val="34"/>
          <w:u w:val="none"/>
        </w:rPr>
        <w:t>Risk register</w:t>
      </w:r>
    </w:p>
    <w:p>
      <w:pPr>
        <w:keepNext/>
        <w:keepLines/>
        <w:pageBreakBefore w:val="0"/>
        <w:widowControl w:val="1"/>
        <w:spacing w:before="0" w:after="100"/>
      </w:pPr>
      <w:r>
        <w:rPr>
          <w:rFonts w:ascii="Calibri" w:hAnsi="Calibri" w:cs="Calibri" w:eastAsia="Calibri"/>
          <w:b/>
          <w:i w:val="0"/>
          <w:caps w:val="1"/>
          <w:color w:val="4C5B73"/>
          <w:spacing w:val="26"/>
          <w:sz w:val="15"/>
          <w:u w:val="none"/>
        </w:rPr>
        <w:t>Inherent position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Inherent risk register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herent risk register"/>
        <w:tblDescription w:val="Columns: Ref, Risk, Likelihood, Impact, Inherent"/>
      </w:tblPr>
      <w:tblGrid>
        <w:gridCol w:w="868"/>
        <w:gridCol w:w="4666"/>
        <w:gridCol w:w="1736"/>
        <w:gridCol w:w="1411"/>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466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Risk</w:t>
            </w:r>
          </w:p>
        </w:tc>
        <w:tc>
          <w:tcPr>
            <w:tcW w:type="dxa" w:w="173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Likelihood</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Impact</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Inherent</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benefit not disclosed to the client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High</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Client personal information shared without consent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411"/>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High</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3.3</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is perceived as advice on credit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Moderate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3.4</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Partner conduct damages our reputation</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Unlikely</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Conflict between referral revenue and client interest</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Possible</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Moderate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3.6</w:t>
            </w:r>
          </w:p>
        </w:tc>
        <w:tc>
          <w:tcPr>
            <w:tcW w:type="dxa" w:w="466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Record-keeping insufficient for a later review</w:t>
            </w:r>
          </w:p>
        </w:tc>
        <w:tc>
          <w:tcPr>
            <w:tcW w:type="dxa" w:w="173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Likely</w:t>
            </w:r>
          </w:p>
        </w:tc>
        <w:tc>
          <w:tcPr>
            <w:tcW w:type="dxa" w:w="141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Minor</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Likelihood and impact are stated as words rather than plotted on a heat map, so the register is legible in grayscale and to assistive technology.</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04   </w:t>
      </w:r>
      <w:r>
        <w:rPr>
          <w:rFonts w:ascii="Calibri" w:hAnsi="Calibri" w:cs="Calibri" w:eastAsia="Calibri"/>
          <w:b w:val="0"/>
          <w:i w:val="0"/>
          <w:color w:val="0C2340"/>
          <w:sz w:val="34"/>
          <w:u w:val="none"/>
        </w:rPr>
        <w:t>Controls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reduces the risk</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Controls and residual rating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ols and residual rating"/>
        <w:tblDescription w:val="Columns: Ref, Control, Type, Owner, Effectiveness, Residual"/>
      </w:tblPr>
      <w:tblGrid>
        <w:gridCol w:w="762"/>
        <w:gridCol w:w="3332"/>
        <w:gridCol w:w="1238"/>
        <w:gridCol w:w="1618"/>
        <w:gridCol w:w="1904"/>
        <w:gridCol w:w="1238"/>
      </w:tblGrid>
      <w:tr>
        <w:trPr>
          <w:cantSplit/>
          <w:tblHeader/>
        </w:trPr>
        <w:tc>
          <w:tcPr>
            <w:tcW w:type="dxa" w:w="76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33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Control</w:t>
            </w:r>
          </w:p>
        </w:tc>
        <w:tc>
          <w:tcPr>
            <w:tcW w:type="dxa" w:w="12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6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90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Effectiveness</w:t>
            </w:r>
          </w:p>
        </w:tc>
        <w:tc>
          <w:tcPr>
            <w:tcW w:type="dxa" w:w="12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Residual</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Disclosure generated automatically on every referral</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Preventive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Head of Advice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Written client consent captured before any data is shared</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Preventive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Team Leader</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form states that we do not advise on credit</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Preventive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Partially effective</w:t>
            </w:r>
          </w:p>
        </w:tc>
        <w:tc>
          <w:tcPr>
            <w:tcW w:type="dxa" w:w="123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Partner due diligence performed annually</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Detective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Conflicts register records the arrangement</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Detective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Effective</w:t>
            </w:r>
          </w:p>
        </w:tc>
        <w:tc>
          <w:tcPr>
            <w:tcW w:type="dxa" w:w="123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76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333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Referral records retained in the client file</w:t>
            </w:r>
          </w:p>
        </w:tc>
        <w:tc>
          <w:tcPr>
            <w:tcW w:type="dxa" w:w="12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Detective</w:t>
            </w:r>
          </w:p>
        </w:tc>
        <w:tc>
          <w:tcPr>
            <w:tcW w:type="dxa" w:w="16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Team Leader</w:t>
            </w:r>
          </w:p>
        </w:tc>
        <w:tc>
          <w:tcPr>
            <w:tcW w:type="dxa" w:w="190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yet implemented</w:t>
            </w:r>
          </w:p>
        </w:tc>
        <w:tc>
          <w:tcPr>
            <w:tcW w:type="dxa" w:w="123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05   </w:t>
      </w:r>
      <w:r>
        <w:rPr>
          <w:rFonts w:ascii="Calibri" w:hAnsi="Calibri" w:cs="Calibri" w:eastAsia="Calibri"/>
          <w:b w:val="0"/>
          <w:i w:val="0"/>
          <w:color w:val="0C2340"/>
          <w:sz w:val="34"/>
          <w:u w:val="none"/>
        </w:rPr>
        <w:t>Residual position</w:t>
      </w:r>
    </w:p>
    <w:p>
      <w:pPr>
        <w:keepNext/>
        <w:keepLines/>
        <w:pageBreakBefore w:val="0"/>
        <w:widowControl w:val="1"/>
        <w:spacing w:before="0" w:after="100"/>
      </w:pPr>
      <w:r>
        <w:rPr>
          <w:rFonts w:ascii="Calibri" w:hAnsi="Calibri" w:cs="Calibri" w:eastAsia="Calibri"/>
          <w:b/>
          <w:i w:val="0"/>
          <w:caps w:val="1"/>
          <w:color w:val="4C5B73"/>
          <w:spacing w:val="26"/>
          <w:sz w:val="15"/>
          <w:u w:val="none"/>
        </w:rPr>
        <w:t>After controls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HIGHEST RESIDUAL</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HIGH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MEDIUM</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LOW</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MEDIUM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Before new controls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Residual risks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Residual risks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Residual risks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06   </w:t>
      </w:r>
      <w:r>
        <w:rPr>
          <w:rFonts w:ascii="Calibri" w:hAnsi="Calibri" w:cs="Calibri" w:eastAsia="Calibri"/>
          <w:b w:val="0"/>
          <w:i w:val="0"/>
          <w:color w:val="0C2340"/>
          <w:sz w:val="34"/>
          <w:u w:val="none"/>
        </w:rPr>
        <w:t>Treatment plan</w:t>
      </w:r>
    </w:p>
    <w:p>
      <w:pPr>
        <w:keepNext/>
        <w:keepLines/>
        <w:pageBreakBefore w:val="0"/>
        <w:widowControl w:val="1"/>
        <w:spacing w:before="0" w:after="100"/>
      </w:pPr>
      <w:r>
        <w:rPr>
          <w:rFonts w:ascii="Calibri" w:hAnsi="Calibri" w:cs="Calibri" w:eastAsia="Calibri"/>
          <w:b/>
          <w:i w:val="0"/>
          <w:caps w:val="1"/>
          <w:color w:val="4C5B73"/>
          <w:spacing w:val="26"/>
          <w:sz w:val="15"/>
          <w:u w:val="none"/>
        </w:rPr>
        <w:t>The additional controls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Additional controls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Add a mandatory 'we do not advise on credit' acknowledgement to the referral form, ticked by the client.</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Auto-file the referral record and the consent to the client file on submission.</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Add the arrangement to the conflicts register with a six-month review date.</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Include referral files in the next compliance monitoring sample.</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07   </w:t>
      </w:r>
      <w:r>
        <w:rPr>
          <w:rFonts w:ascii="Calibri" w:hAnsi="Calibri" w:cs="Calibri" w:eastAsia="Calibri"/>
          <w:b w:val="0"/>
          <w:i w:val="0"/>
          <w:color w:val="0C2340"/>
          <w:sz w:val="34"/>
          <w:u w:val="none"/>
        </w:rPr>
        <w:t>Monitoring</w:t>
      </w:r>
    </w:p>
    <w:p>
      <w:pPr>
        <w:keepNext/>
        <w:keepLines/>
        <w:pageBreakBefore w:val="0"/>
        <w:widowControl w:val="1"/>
        <w:spacing w:before="0" w:after="100"/>
      </w:pPr>
      <w:r>
        <w:rPr>
          <w:rFonts w:ascii="Calibri" w:hAnsi="Calibri" w:cs="Calibri" w:eastAsia="Calibri"/>
          <w:b/>
          <w:i w:val="0"/>
          <w:caps w:val="1"/>
          <w:color w:val="4C5B73"/>
          <w:spacing w:val="26"/>
          <w:sz w:val="15"/>
          <w:u w:val="none"/>
        </w:rPr>
        <w:t>How this stays under control</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Monitoring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frequency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 months for the first year</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First review</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15/02/2027</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Owner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Compliance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Escalation trigger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Any complaint, or any referral without a consent record</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Reporting</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Compliance committee, quarterly</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Termination trigger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Partner loses authorisation, or two consent failures</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08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Assessor and approver</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Compliance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Approved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 Osei, Director</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Risk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dc:title>
  <dc:subject>Structured assessment of a specific risk, transaction or arrangement: inherent risk, controls, residual risk and the decision.</dc:subject>
  <dc:creator>Aurixa Systems</dc:creator>
  <cp:keywords>Risk assessment, Risk register, Control assessment, Compliance &amp; Governance,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