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7824" w:hRule="atLeast"/>
        </w:trPr>
        <w:tc>
          <w:tcPr>
            <w:tcW w:type="dxa" w:w="10091"/>
            <w:tcBorders>
              <w:top w:val="single" w:sz="10" w:space="0" w:color="1D6FE0"/>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34"/>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D6FE0"/>
                <w:spacing w:val="58"/>
                <w:sz w:val="16"/>
                <w:u w:val="none"/>
              </w:rPr>
              <w:t>Limited-recourse borrowing arrangement</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z w:val="60"/>
                <w:u w:val="none"/>
              </w:rPr>
              <w:t>{{report.title}}</w:t>
            </w:r>
          </w:p>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1701"/>
            </w:tblGrid>
            <w:tr>
              <w:trPr>
                <w:cantSplit/>
              </w:trPr>
              <w:tc>
                <w:tcPr>
                  <w:tcW w:type="dxa" w:w="1701"/>
                  <w:shd w:val="clear" w:color="auto" w:fill="1D6FE0"/>
                  <w:tcMar>
                    <w:top w:w="0" w:type="dxa"/>
                    <w:left w:w="0" w:type="dxa"/>
                    <w:bottom w:w="0" w:type="dxa"/>
                    <w:right w:w="0" w:type="dxa"/>
                  </w:tcMar>
                </w:tcPr>
                <w:p>
                  <w:pPr>
                    <w:keepNext w:val="0"/>
                    <w:keepLines/>
                    <w:pageBreakBefore w:val="0"/>
                    <w:widowControl w:val="1"/>
                    <w:spacing w:before="0" w:after="0" w:line="48" w:lineRule="exact"/>
                  </w:pPr>
                  <w:r>
                    <w:rPr>
                      <w:sz w:val="2"/>
                    </w:rPr>
                  </w:r>
                </w:p>
              </w:tc>
            </w:tr>
          </w:tbl>
          <w:p/>
          <w:p>
            <w:pPr>
              <w:keepNext w:val="0"/>
              <w:keepLines/>
              <w:pageBreakBefore w:val="0"/>
              <w:widowControl w:val="1"/>
              <w:spacing w:before="0" w:after="0" w:line="160" w:lineRule="exact"/>
            </w:pPr>
            <w:r>
              <w:rPr>
                <w:sz w:val="2"/>
              </w:rPr>
            </w:r>
          </w:p>
          <w:p>
            <w:pPr>
              <w:keepNext w:val="0"/>
              <w:keepLines/>
              <w:pageBreakBefore w:val="0"/>
              <w:widowControl w:val="1"/>
              <w:spacing w:before="0" w:after="0" w:line="322" w:lineRule="auto"/>
            </w:pPr>
            <w:r>
              <w:rPr>
                <w:rFonts w:ascii="Calibri" w:hAnsi="Calibri" w:cs="Calibri" w:eastAsia="Calibri"/>
                <w:b w:val="0"/>
                <w:i w:val="0"/>
                <w:color w:val="AFC0D6"/>
                <w:sz w:val="22"/>
                <w:u w:val="none"/>
              </w:rPr>
              <w:t>{{fund.identity}}</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LRBA</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ASSESSED</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REFERRAL REQUIRED</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{{client.name}}</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{{client.reference}}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{{author.name}}</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{{document.issueDate}}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{{document.reference}}</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{{document.version}}</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1D6FE0"/>
          <w:sz w:val="34"/>
          <w:u w:val="none"/>
        </w:rPr>
        <w:t xml:space="preserve">01   </w:t>
      </w:r>
      <w:r>
        <w:rPr>
          <w:rFonts w:ascii="Calibri" w:hAnsi="Calibri" w:cs="Calibri" w:eastAsia="Calibri"/>
          <w:b w:val="0"/>
          <w:i w:val="0"/>
          <w:color w:val="0C2340"/>
          <w:sz w:val="34"/>
          <w:u w:val="none"/>
        </w:rPr>
        <w:t>Scope &amp; limitations</w:t>
      </w:r>
    </w:p>
    <w:p>
      <w:pPr>
        <w:keepNext/>
        <w:keepLines/>
        <w:pageBreakBefore w:val="0"/>
        <w:widowControl w:val="1"/>
        <w:spacing w:before="0" w:after="100"/>
      </w:pPr>
      <w:r>
        <w:rPr>
          <w:rFonts w:ascii="Calibri" w:hAnsi="Calibri" w:cs="Calibri" w:eastAsia="Calibri"/>
          <w:b/>
          <w:i w:val="0"/>
          <w:caps w:val="1"/>
          <w:color w:val="4C5B73"/>
          <w:spacing w:val="26"/>
          <w:sz w:val="15"/>
          <w:u w:val="none"/>
        </w:rPr>
        <w:t>Read this first</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4C5B73"/>
              <w:bottom w:val="single" w:sz="6" w:space="0" w:color="DCE3ED"/>
              <w:right w:val="single" w:sz="6" w:space="0" w:color="DCE3ED"/>
            </w:tcBorders>
            <w:shd w:val="clear" w:color="auto" w:fill="FFFFFF"/>
            <w:tcMar>
              <w:top w:w="162" w:type="dxa"/>
              <w:left w:w="189" w:type="dxa"/>
              <w:bottom w:w="162" w:type="dxa"/>
              <w:right w:w="189" w:type="dxa"/>
            </w:tcMar>
          </w:tcPr>
          <w:p>
            <w:pPr>
              <w:keepNext/>
              <w:keepLines/>
              <w:pageBreakBefore w:val="0"/>
              <w:widowControl w:val="1"/>
              <w:spacing w:before="0" w:after="80"/>
            </w:pPr>
            <w:r>
              <w:rPr>
                <w:rFonts w:ascii="Calibri" w:hAnsi="Calibri" w:cs="Calibri" w:eastAsia="Calibri"/>
                <w:b/>
                <w:i w:val="0"/>
                <w:caps w:val="1"/>
                <w:color w:val="4C5B73"/>
                <w:spacing w:val="26"/>
                <w:sz w:val="15"/>
                <w:u w:val="none"/>
              </w:rPr>
              <w:t>Scope &amp; limitations</w:t>
            </w:r>
          </w:p>
          <w:p>
            <w:pPr>
              <w:keepNext w:val="0"/>
              <w:keepLines/>
              <w:pageBreakBefore w:val="0"/>
              <w:widowControl w:val="1"/>
              <w:spacing w:before="0" w:after="0" w:line="312" w:lineRule="auto"/>
            </w:pPr>
            <w:r>
              <w:rPr>
                <w:rFonts w:ascii="Calibri" w:hAnsi="Calibri" w:cs="Calibri" w:eastAsia="Calibri"/>
                <w:b w:val="0"/>
                <w:i w:val="0"/>
                <w:color w:val="10192A"/>
                <w:sz w:val="17"/>
                <w:u w:val="none"/>
              </w:rPr>
              <w:t>{{scope.text}}</w:t>
            </w:r>
          </w:p>
          <w:p>
            <w:pPr>
              <w:keepNext w:val="0"/>
              <w:keepLines/>
              <w:pageBreakBefore w:val="0"/>
              <w:widowControl w:val="1"/>
              <w:spacing w:before="0" w:after="0" w:line="100" w:lineRule="exact"/>
            </w:pPr>
            <w:r>
              <w:rPr>
                <w:sz w:val="2"/>
              </w:rPr>
            </w:r>
          </w:p>
          <w:p>
            <w:pPr>
              <w:keepNext w:val="0"/>
              <w:keepLines/>
              <w:pageBreakBefore w:val="0"/>
              <w:widowControl w:val="1"/>
              <w:spacing w:before="0" w:after="0" w:line="312" w:lineRule="auto"/>
              <w:ind w:left="200" w:hanging="200"/>
            </w:pPr>
            <w:r>
              <w:rPr>
                <w:rFonts w:ascii="Calibri" w:hAnsi="Calibri" w:cs="Calibri" w:eastAsia="Calibri"/>
                <w:b/>
                <w:i w:val="0"/>
                <w:color w:val="4C5B73"/>
                <w:sz w:val="17"/>
                <w:u w:val="none"/>
              </w:rPr>
              <w:t xml:space="preserve">•  </w:t>
            </w:r>
            <w:r>
              <w:rPr>
                <w:rFonts w:ascii="Calibri" w:hAnsi="Calibri" w:cs="Calibri" w:eastAsia="Calibri"/>
                <w:b w:val="0"/>
                <w:i w:val="0"/>
                <w:color w:val="10192A"/>
                <w:sz w:val="17"/>
                <w:u w:val="none"/>
              </w:rPr>
              <w:t>{{scope.items[0]}}</w:t>
            </w:r>
          </w:p>
          <w:p>
            <w:pPr>
              <w:keepNext w:val="0"/>
              <w:keepLines/>
              <w:pageBreakBefore w:val="0"/>
              <w:widowControl w:val="1"/>
              <w:spacing w:before="80" w:after="0" w:line="312" w:lineRule="auto"/>
              <w:ind w:left="200" w:hanging="200"/>
            </w:pPr>
            <w:r>
              <w:rPr>
                <w:rFonts w:ascii="Calibri" w:hAnsi="Calibri" w:cs="Calibri" w:eastAsia="Calibri"/>
                <w:b/>
                <w:i w:val="0"/>
                <w:color w:val="4C5B73"/>
                <w:sz w:val="17"/>
                <w:u w:val="none"/>
              </w:rPr>
              <w:t xml:space="preserve">•  </w:t>
            </w:r>
            <w:r>
              <w:rPr>
                <w:rFonts w:ascii="Calibri" w:hAnsi="Calibri" w:cs="Calibri" w:eastAsia="Calibri"/>
                <w:b w:val="0"/>
                <w:i w:val="0"/>
                <w:color w:val="10192A"/>
                <w:sz w:val="17"/>
                <w:u w:val="none"/>
              </w:rPr>
              <w:t>{{scope.items[1]}}</w:t>
            </w:r>
          </w:p>
          <w:p>
            <w:pPr>
              <w:keepNext w:val="0"/>
              <w:keepLines/>
              <w:pageBreakBefore w:val="0"/>
              <w:widowControl w:val="1"/>
              <w:spacing w:before="80" w:after="0" w:line="312" w:lineRule="auto"/>
              <w:ind w:left="200" w:hanging="200"/>
            </w:pPr>
            <w:r>
              <w:rPr>
                <w:rFonts w:ascii="Calibri" w:hAnsi="Calibri" w:cs="Calibri" w:eastAsia="Calibri"/>
                <w:b/>
                <w:i w:val="0"/>
                <w:color w:val="4C5B73"/>
                <w:sz w:val="17"/>
                <w:u w:val="none"/>
              </w:rPr>
              <w:t xml:space="preserve">•  </w:t>
            </w:r>
            <w:r>
              <w:rPr>
                <w:rFonts w:ascii="Calibri" w:hAnsi="Calibri" w:cs="Calibri" w:eastAsia="Calibri"/>
                <w:b w:val="0"/>
                <w:i w:val="0"/>
                <w:color w:val="10192A"/>
                <w:sz w:val="17"/>
                <w:u w:val="none"/>
              </w:rPr>
              <w:t>{{scope.items[2]}}</w:t>
            </w:r>
          </w:p>
          <w:p>
            <w:pPr>
              <w:keepNext w:val="0"/>
              <w:keepLines/>
              <w:pageBreakBefore w:val="0"/>
              <w:widowControl w:val="1"/>
              <w:spacing w:before="80" w:after="0" w:line="312" w:lineRule="auto"/>
              <w:ind w:left="200" w:hanging="200"/>
            </w:pPr>
            <w:r>
              <w:rPr>
                <w:rFonts w:ascii="Calibri" w:hAnsi="Calibri" w:cs="Calibri" w:eastAsia="Calibri"/>
                <w:b/>
                <w:i w:val="0"/>
                <w:color w:val="4C5B73"/>
                <w:sz w:val="17"/>
                <w:u w:val="none"/>
              </w:rPr>
              <w:t xml:space="preserve">•  </w:t>
            </w:r>
            <w:r>
              <w:rPr>
                <w:rFonts w:ascii="Calibri" w:hAnsi="Calibri" w:cs="Calibri" w:eastAsia="Calibri"/>
                <w:b w:val="0"/>
                <w:i w:val="0"/>
                <w:color w:val="10192A"/>
                <w:sz w:val="17"/>
                <w:u w:val="none"/>
              </w:rPr>
              <w:t>{{scope.items[3]}}</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02   </w:t>
      </w:r>
      <w:r>
        <w:rPr>
          <w:rFonts w:ascii="Calibri" w:hAnsi="Calibri" w:cs="Calibri" w:eastAsia="Calibri"/>
          <w:b w:val="0"/>
          <w:i w:val="0"/>
          <w:color w:val="0C2340"/>
          <w:sz w:val="34"/>
          <w:u w:val="none"/>
        </w:rPr>
        <w:t>Assessment outcome</w:t>
      </w:r>
    </w:p>
    <w:p>
      <w:pPr>
        <w:keepNext/>
        <w:keepLines/>
        <w:pageBreakBefore w:val="0"/>
        <w:widowControl w:val="1"/>
        <w:spacing w:before="0" w:after="100"/>
      </w:pPr>
      <w:r>
        <w:rPr>
          <w:rFonts w:ascii="Calibri" w:hAnsi="Calibri" w:cs="Calibri" w:eastAsia="Calibri"/>
          <w:b/>
          <w:i w:val="0"/>
          <w:caps w:val="1"/>
          <w:color w:val="4C5B73"/>
          <w:spacing w:val="26"/>
          <w:sz w:val="15"/>
          <w:u w:val="none"/>
        </w:rPr>
        <w:t>Viable, conditional or not</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1D6FE0"/>
              <w:left w:val="single" w:sz="26" w:space="0" w:color="1D6FE0"/>
              <w:bottom w:val="single" w:sz="6" w:space="0" w:color="1D6FE0"/>
              <w:right w:val="single" w:sz="6" w:space="0" w:color="1D6FE0"/>
            </w:tcBorders>
            <w:shd w:val="clear" w:color="auto" w:fill="F2F7FE"/>
            <w:tcMar>
              <w:top w:w="162" w:type="dxa"/>
              <w:left w:w="189" w:type="dxa"/>
              <w:bottom w:w="162" w:type="dxa"/>
              <w:right w:w="189" w:type="dxa"/>
            </w:tcMar>
          </w:tcPr>
          <w:p>
            <w:pPr>
              <w:keepNext/>
              <w:keepLines/>
              <w:pageBreakBefore w:val="0"/>
              <w:widowControl w:val="1"/>
              <w:spacing w:before="0" w:after="100"/>
            </w:pPr>
            <w:r>
              <w:rPr>
                <w:rFonts w:ascii="Calibri" w:hAnsi="Calibri" w:cs="Calibri" w:eastAsia="Calibri"/>
                <w:b/>
                <w:i w:val="0"/>
                <w:caps w:val="1"/>
                <w:color w:val="1D6FE0"/>
                <w:spacing w:val="26"/>
                <w:sz w:val="15"/>
                <w:u w:val="none"/>
              </w:rPr>
              <w:t>ASSESSMENT OUTCOME</w:t>
            </w:r>
            <w:r>
              <w:rPr>
                <w:rFonts w:ascii="Calibri" w:hAnsi="Calibri" w:cs="Calibri" w:eastAsia="Calibri"/>
                <w:b/>
                <w:i w:val="0"/>
                <w:caps w:val="1"/>
                <w:color w:val="4C5B73"/>
                <w:spacing w:val="24"/>
                <w:sz w:val="14"/>
                <w:u w:val="none"/>
              </w:rPr>
              <w:t xml:space="preserve">     CONFIDENCE: {{ASSESSMENT.CONFIDENCE}}</w:t>
            </w:r>
          </w:p>
          <w:p>
            <w:pPr>
              <w:keepNext w:val="0"/>
              <w:keepLines/>
              <w:pageBreakBefore w:val="0"/>
              <w:widowControl w:val="1"/>
              <w:spacing w:before="0" w:after="120" w:line="298" w:lineRule="auto"/>
            </w:pPr>
            <w:r>
              <w:rPr>
                <w:rFonts w:ascii="Calibri" w:hAnsi="Calibri" w:cs="Calibri" w:eastAsia="Calibri"/>
                <w:b/>
                <w:i w:val="0"/>
                <w:color w:val="0C2340"/>
                <w:sz w:val="22"/>
                <w:u w:val="none"/>
              </w:rPr>
              <w:t>{{assessment.outcome}}</w:t>
            </w:r>
          </w:p>
          <w:p>
            <w:pPr>
              <w:keepNext w:val="0"/>
              <w:keepLines/>
              <w:pageBreakBefore w:val="0"/>
              <w:widowControl w:val="1"/>
              <w:spacing w:before="0" w:after="0" w:line="312" w:lineRule="auto"/>
            </w:pPr>
            <w:r>
              <w:rPr>
                <w:rFonts w:ascii="Calibri" w:hAnsi="Calibri" w:cs="Calibri" w:eastAsia="Calibri"/>
                <w:b w:val="0"/>
                <w:i w:val="0"/>
                <w:color w:val="10192A"/>
                <w:sz w:val="17"/>
                <w:u w:val="none"/>
              </w:rPr>
              <w:t>{{assessment.rationale}}</w:t>
            </w:r>
          </w:p>
          <w:p>
            <w:pPr>
              <w:keepNext w:val="0"/>
              <w:keepLines/>
              <w:pageBreakBefore w:val="0"/>
              <w:widowControl w:val="1"/>
              <w:spacing w:before="0" w:after="0" w:line="14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Next steps</w:t>
            </w:r>
          </w:p>
          <w:p>
            <w:pPr>
              <w:keepNext w:val="0"/>
              <w:keepLines/>
              <w:pageBreakBefore w:val="0"/>
              <w:widowControl w:val="1"/>
              <w:tabs>
                <w:tab w:val="left" w:pos="320"/>
              </w:tabs>
              <w:spacing w:before="0" w:after="0" w:line="312" w:lineRule="auto"/>
              <w:ind w:left="320" w:hanging="320"/>
            </w:pPr>
            <w:r>
              <w:rPr>
                <w:rFonts w:ascii="Calibri" w:hAnsi="Calibri" w:cs="Calibri" w:eastAsia="Calibri"/>
                <w:b/>
                <w:i w:val="0"/>
                <w:color w:val="1D6FE0"/>
                <w:sz w:val="19"/>
                <w:u w:val="none"/>
              </w:rPr>
              <w:t>1.</w:t>
            </w:r>
            <w:r>
              <w:rPr>
                <w:rFonts w:ascii="Calibri" w:hAnsi="Calibri" w:cs="Calibri" w:eastAsia="Calibri"/>
                <w:b w:val="0"/>
                <w:i w:val="0"/>
                <w:color w:val="10192A"/>
                <w:sz w:val="19"/>
                <w:u w:val="none"/>
              </w:rPr>
              <w:tab/>
              <w:t>{{assessment.conditions[0]}}</w:t>
            </w:r>
          </w:p>
          <w:p>
            <w:pPr>
              <w:keepNext w:val="0"/>
              <w:keepLines/>
              <w:pageBreakBefore w:val="0"/>
              <w:widowControl w:val="1"/>
              <w:tabs>
                <w:tab w:val="left" w:pos="320"/>
              </w:tabs>
              <w:spacing w:before="80" w:after="0" w:line="312" w:lineRule="auto"/>
              <w:ind w:left="320" w:hanging="320"/>
            </w:pPr>
            <w:r>
              <w:rPr>
                <w:rFonts w:ascii="Calibri" w:hAnsi="Calibri" w:cs="Calibri" w:eastAsia="Calibri"/>
                <w:b/>
                <w:i w:val="0"/>
                <w:color w:val="1D6FE0"/>
                <w:sz w:val="19"/>
                <w:u w:val="none"/>
              </w:rPr>
              <w:t>2.</w:t>
            </w:r>
            <w:r>
              <w:rPr>
                <w:rFonts w:ascii="Calibri" w:hAnsi="Calibri" w:cs="Calibri" w:eastAsia="Calibri"/>
                <w:b w:val="0"/>
                <w:i w:val="0"/>
                <w:color w:val="10192A"/>
                <w:sz w:val="19"/>
                <w:u w:val="none"/>
              </w:rPr>
              <w:tab/>
              <w:t>{{assessment.conditions[1]}}</w:t>
            </w:r>
          </w:p>
          <w:p>
            <w:pPr>
              <w:keepNext w:val="0"/>
              <w:keepLines/>
              <w:pageBreakBefore w:val="0"/>
              <w:widowControl w:val="1"/>
              <w:tabs>
                <w:tab w:val="left" w:pos="320"/>
              </w:tabs>
              <w:spacing w:before="80" w:after="0" w:line="312" w:lineRule="auto"/>
              <w:ind w:left="320" w:hanging="320"/>
            </w:pPr>
            <w:r>
              <w:rPr>
                <w:rFonts w:ascii="Calibri" w:hAnsi="Calibri" w:cs="Calibri" w:eastAsia="Calibri"/>
                <w:b/>
                <w:i w:val="0"/>
                <w:color w:val="1D6FE0"/>
                <w:sz w:val="19"/>
                <w:u w:val="none"/>
              </w:rPr>
              <w:t>3.</w:t>
            </w:r>
            <w:r>
              <w:rPr>
                <w:rFonts w:ascii="Calibri" w:hAnsi="Calibri" w:cs="Calibri" w:eastAsia="Calibri"/>
                <w:b w:val="0"/>
                <w:i w:val="0"/>
                <w:color w:val="10192A"/>
                <w:sz w:val="19"/>
                <w:u w:val="none"/>
              </w:rPr>
              <w:tab/>
              <w:t>{{assessment.conditions[2]}}</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1D6FE0"/>
          <w:sz w:val="34"/>
          <w:u w:val="none"/>
        </w:rPr>
        <w:t xml:space="preserve">03   </w:t>
      </w:r>
      <w:r>
        <w:rPr>
          <w:rFonts w:ascii="Calibri" w:hAnsi="Calibri" w:cs="Calibri" w:eastAsia="Calibri"/>
          <w:b w:val="0"/>
          <w:i w:val="0"/>
          <w:color w:val="0C2340"/>
          <w:sz w:val="34"/>
          <w:u w:val="none"/>
        </w:rPr>
        <w:t>Fund details</w:t>
      </w:r>
    </w:p>
    <w:p>
      <w:pPr>
        <w:keepNext/>
        <w:keepLines/>
        <w:pageBreakBefore w:val="0"/>
        <w:widowControl w:val="1"/>
        <w:spacing w:before="0" w:after="100"/>
      </w:pPr>
      <w:r>
        <w:rPr>
          <w:rFonts w:ascii="Calibri" w:hAnsi="Calibri" w:cs="Calibri" w:eastAsia="Calibri"/>
          <w:b/>
          <w:i w:val="0"/>
          <w:caps w:val="1"/>
          <w:color w:val="4C5B73"/>
          <w:spacing w:val="26"/>
          <w:sz w:val="15"/>
          <w:u w:val="none"/>
        </w:rPr>
        <w:t>The fund and its trustees</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D6FE0"/>
              <w:bottom w:val="single" w:sz="6" w:space="0" w:color="DCE3ED"/>
              <w:right w:val="single" w:sz="6" w:space="0" w:color="DCE3ED"/>
            </w:tcBorders>
            <w:shd w:val="clear" w:color="auto" w:fill="FFFFFF"/>
            <w:tcMar>
              <w:top w:w="162" w:type="dxa"/>
              <w:left w:w="189" w:type="dxa"/>
              <w:bottom w:w="162" w:type="dxa"/>
              <w:right w:w="189" w:type="dxa"/>
            </w:tcMar>
          </w:tcPr>
          <w:p>
            <w:pPr>
              <w:keepNext/>
              <w:keepLines/>
              <w:pageBreakBefore w:val="0"/>
              <w:widowControl w:val="1"/>
              <w:spacing w:before="0" w:after="80"/>
            </w:pPr>
            <w:r>
              <w:rPr>
                <w:rFonts w:ascii="Calibri" w:hAnsi="Calibri" w:cs="Calibri" w:eastAsia="Calibri"/>
                <w:b/>
                <w:i w:val="0"/>
                <w:caps w:val="1"/>
                <w:color w:val="1D6FE0"/>
                <w:spacing w:val="26"/>
                <w:sz w:val="15"/>
                <w:u w:val="none"/>
              </w:rPr>
              <w:t>Fund particulars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927"/>
              <w:gridCol w:w="2890"/>
              <w:gridCol w:w="1927"/>
              <w:gridCol w:w="2890"/>
            </w:tblGrid>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Fund name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{{fund.name}}</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ABN</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{{fund.abn}}</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Established</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{{fund.established}}</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Trustee structure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{{fund.trusteeType}}</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Trustee entity</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{{fund.trustee}}</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Members</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{{fund.members}}</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Total balance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{{fund.balance}}</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Member 1 balance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{{fund.member1}}</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Member 2 balance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{{fund.member2}}</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Contributions p.a.</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{{fund.contributions}}</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Current liquid assets</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{{fund.liquid}}</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Compliance status</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{{fund.compliance}}</w:t>
                  </w:r>
                </w:p>
              </w:tc>
            </w:tr>
          </w:tbl>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04   </w:t>
      </w:r>
      <w:r>
        <w:rPr>
          <w:rFonts w:ascii="Calibri" w:hAnsi="Calibri" w:cs="Calibri" w:eastAsia="Calibri"/>
          <w:b w:val="0"/>
          <w:i w:val="0"/>
          <w:color w:val="0C2340"/>
          <w:sz w:val="34"/>
          <w:u w:val="none"/>
        </w:rPr>
        <w:t>Structure requirements</w:t>
      </w:r>
    </w:p>
    <w:p>
      <w:pPr>
        <w:keepNext/>
        <w:keepLines/>
        <w:pageBreakBefore w:val="0"/>
        <w:widowControl w:val="1"/>
        <w:spacing w:before="0" w:after="100"/>
      </w:pPr>
      <w:r>
        <w:rPr>
          <w:rFonts w:ascii="Calibri" w:hAnsi="Calibri" w:cs="Calibri" w:eastAsia="Calibri"/>
          <w:b/>
          <w:i w:val="0"/>
          <w:caps w:val="1"/>
          <w:color w:val="4C5B73"/>
          <w:spacing w:val="26"/>
          <w:sz w:val="15"/>
          <w:u w:val="none"/>
        </w:rPr>
        <w:t>What must exist</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Structural requirements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Structural requirements"/>
        <w:tblDescription w:val="Columns: Ref, Requirement, Position, Evidence, Status"/>
      </w:tblPr>
      <w:tblGrid>
        <w:gridCol w:w="868"/>
        <w:gridCol w:w="3038"/>
        <w:gridCol w:w="2387"/>
        <w:gridCol w:w="2387"/>
        <w:gridCol w:w="1411"/>
      </w:tblGrid>
      <w:tr>
        <w:trPr>
          <w:cantSplit/>
          <w:tblHeader/>
        </w:trPr>
        <w:tc>
          <w:tcPr>
            <w:tcW w:type="dxa" w:w="86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303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Requirement</w:t>
            </w:r>
          </w:p>
        </w:tc>
        <w:tc>
          <w:tcPr>
            <w:tcW w:type="dxa" w:w="2387"/>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Position</w:t>
            </w:r>
          </w:p>
        </w:tc>
        <w:tc>
          <w:tcPr>
            <w:tcW w:type="dxa" w:w="2387"/>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Evidence</w:t>
            </w:r>
          </w:p>
        </w:tc>
        <w:tc>
          <w:tcPr>
            <w:tcW w:type="dxa" w:w="1411"/>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{{evidence}}</w:t>
            </w:r>
          </w:p>
        </w:tc>
        <w:tc>
          <w:tcPr>
            <w:tcW w:type="dxa" w:w="1411"/>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{{evidence}}</w:t>
            </w:r>
          </w:p>
        </w:tc>
        <w:tc>
          <w:tcPr>
            <w:tcW w:type="dxa" w:w="1411"/>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{{evidence}}</w:t>
            </w:r>
          </w:p>
        </w:tc>
        <w:tc>
          <w:tcPr>
            <w:tcW w:type="dxa" w:w="1411"/>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{{evidence}}</w:t>
            </w:r>
          </w:p>
        </w:tc>
        <w:tc>
          <w:tcPr>
            <w:tcW w:type="dxa" w:w="1411"/>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{{evidence}}</w:t>
            </w:r>
          </w:p>
        </w:tc>
        <w:tc>
          <w:tcPr>
            <w:tcW w:type="dxa" w:w="1411"/>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03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238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{{evidence}}</w:t>
            </w:r>
          </w:p>
        </w:tc>
        <w:tc>
          <w:tcPr>
            <w:tcW w:type="dxa" w:w="1411"/>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1D6FE0"/>
          <w:sz w:val="34"/>
          <w:u w:val="none"/>
        </w:rPr>
        <w:t xml:space="preserve">05   </w:t>
      </w:r>
      <w:r>
        <w:rPr>
          <w:rFonts w:ascii="Calibri" w:hAnsi="Calibri" w:cs="Calibri" w:eastAsia="Calibri"/>
          <w:b w:val="0"/>
          <w:i w:val="0"/>
          <w:color w:val="0C2340"/>
          <w:sz w:val="34"/>
          <w:u w:val="none"/>
        </w:rPr>
        <w:t>Contribution &amp; liquidity</w:t>
      </w:r>
    </w:p>
    <w:p>
      <w:pPr>
        <w:keepNext/>
        <w:keepLines/>
        <w:pageBreakBefore w:val="0"/>
        <w:widowControl w:val="1"/>
        <w:spacing w:before="0" w:after="100"/>
      </w:pPr>
      <w:r>
        <w:rPr>
          <w:rFonts w:ascii="Calibri" w:hAnsi="Calibri" w:cs="Calibri" w:eastAsia="Calibri"/>
          <w:b/>
          <w:i w:val="0"/>
          <w:caps w:val="1"/>
          <w:color w:val="4C5B73"/>
          <w:spacing w:val="26"/>
          <w:sz w:val="15"/>
          <w:u w:val="none"/>
        </w:rPr>
        <w:t>Can the fund carry it</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Contribution and liquidity</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Contribution and liquidity"/>
        <w:tblDescription w:val="Columns: Item, Annual, Monthly, Note"/>
      </w:tblPr>
      <w:tblGrid>
        <w:gridCol w:w="3628"/>
        <w:gridCol w:w="1701"/>
        <w:gridCol w:w="1587"/>
        <w:gridCol w:w="3175"/>
      </w:tblGrid>
      <w:tr>
        <w:trPr>
          <w:cantSplit/>
          <w:trHeight w:val="420" w:hRule="atLeast"/>
          <w:tblHeader/>
        </w:trPr>
        <w:tc>
          <w:tcPr>
            <w:tcW w:type="dxa" w:w="3628"/>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1701"/>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Annual</w:t>
            </w:r>
          </w:p>
        </w:tc>
        <w:tc>
          <w:tcPr>
            <w:tcW w:type="dxa" w:w="1587"/>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Monthly</w:t>
            </w:r>
          </w:p>
        </w:tc>
        <w:tc>
          <w:tcPr>
            <w:tcW w:type="dxa" w:w="3175"/>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Note</w:t>
            </w:r>
          </w:p>
        </w:tc>
      </w:tr>
      <w:tr>
        <w:trPr>
          <w:cantSplit/>
          <w:trHeight w:val="397" w:hRule="atLeast"/>
        </w:trPr>
        <w:tc>
          <w:tcPr>
            <w:tcW w:type="dxa" w:w="362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7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{{annual}}</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{{monthly}}</w:t>
            </w:r>
          </w:p>
        </w:tc>
        <w:tc>
          <w:tcPr>
            <w:tcW w:type="dxa" w:w="317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7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{{annual}}</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{{monthly}}</w:t>
            </w:r>
          </w:p>
        </w:tc>
        <w:tc>
          <w:tcPr>
            <w:tcW w:type="dxa" w:w="317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7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{{annual}}</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{{monthly}}</w:t>
            </w:r>
          </w:p>
        </w:tc>
        <w:tc>
          <w:tcPr>
            <w:tcW w:type="dxa" w:w="317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7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{{annual}}</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{{monthly}}</w:t>
            </w:r>
          </w:p>
        </w:tc>
        <w:tc>
          <w:tcPr>
            <w:tcW w:type="dxa" w:w="317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7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{{annual}}</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{{monthly}}</w:t>
            </w:r>
          </w:p>
        </w:tc>
        <w:tc>
          <w:tcPr>
            <w:tcW w:type="dxa" w:w="317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7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{{annual}}</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{{monthly}}</w:t>
            </w:r>
          </w:p>
        </w:tc>
        <w:tc>
          <w:tcPr>
            <w:tcW w:type="dxa" w:w="317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single" w:sz="4" w:space="0" w:color="DCE3ED"/>
              <w:left w:val="single" w:sz="4" w:space="0" w:color="DCE3ED"/>
              <w:bottom w:val="single" w:sz="8" w:space="0" w:color="1D6FE0"/>
              <w:right w:val="single" w:sz="4" w:space="0" w:color="DCE3ED"/>
            </w:tcBorders>
            <w:shd w:val="clear" w:color="auto" w:fill="DCE8FB"/>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Net position</w:t>
            </w:r>
          </w:p>
        </w:tc>
        <w:tc>
          <w:tcPr>
            <w:tcW w:type="dxa" w:w="1701"/>
            <w:tcBorders>
              <w:top w:val="single" w:sz="4" w:space="0" w:color="DCE3ED"/>
              <w:left w:val="single" w:sz="4" w:space="0" w:color="DCE3ED"/>
              <w:bottom w:val="single" w:sz="8" w:space="0" w:color="1D6FE0"/>
              <w:right w:val="single" w:sz="4" w:space="0" w:color="DCE3ED"/>
            </w:tcBorders>
            <w:shd w:val="clear" w:color="auto" w:fill="DCE8FB"/>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$50,420</w:t>
            </w:r>
          </w:p>
        </w:tc>
        <w:tc>
          <w:tcPr>
            <w:tcW w:type="dxa" w:w="1587"/>
            <w:tcBorders>
              <w:top w:val="single" w:sz="4" w:space="0" w:color="DCE3ED"/>
              <w:left w:val="single" w:sz="4" w:space="0" w:color="DCE3ED"/>
              <w:bottom w:val="single" w:sz="8" w:space="0" w:color="1D6FE0"/>
              <w:right w:val="single" w:sz="4" w:space="0" w:color="DCE3ED"/>
            </w:tcBorders>
            <w:shd w:val="clear" w:color="auto" w:fill="DCE8FB"/>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$4,202</w:t>
            </w:r>
          </w:p>
        </w:tc>
        <w:tc>
          <w:tcPr>
            <w:tcW w:type="dxa" w:w="3175"/>
            <w:tcBorders>
              <w:top w:val="single" w:sz="4" w:space="0" w:color="DCE3ED"/>
              <w:left w:val="single" w:sz="4" w:space="0" w:color="DCE3ED"/>
              <w:bottom w:val="single" w:sz="8" w:space="0" w:color="1D6FE0"/>
              <w:right w:val="single" w:sz="4" w:space="0" w:color="DCE3ED"/>
            </w:tcBorders>
            <w:shd w:val="clear" w:color="auto" w:fill="DCE8FB"/>
            <w:tcMar>
              <w:top w:w="90" w:type="dxa"/>
              <w:left w:w="126" w:type="dxa"/>
              <w:bottom w:w="90" w:type="dxa"/>
              <w:right w:w="126" w:type="dxa"/>
            </w:tcMar>
            <w:vAlign w:val="top"/>
          </w:tcPr>
          <w:p>
            <w:pPr>
              <w:keepNext w:val="0"/>
              <w:keepLines/>
              <w:pageBreakBefore w:val="0"/>
              <w:widowControl w:val="1"/>
              <w:spacing w:before="0" w:after="0" w:line="293" w:lineRule="auto"/>
            </w:pP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Liquidity buffer after acquisition is $318,400 against annual outgoings and repayments of $66,300 — 4.8 years of cover, well above the lender's 12-month minimum.</w:t>
      </w:r>
    </w:p>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06   </w:t>
      </w:r>
      <w:r>
        <w:rPr>
          <w:rFonts w:ascii="Calibri" w:hAnsi="Calibri" w:cs="Calibri" w:eastAsia="Calibri"/>
          <w:b w:val="0"/>
          <w:i w:val="0"/>
          <w:color w:val="0C2340"/>
          <w:sz w:val="34"/>
          <w:u w:val="none"/>
        </w:rPr>
        <w:t>Lender requirements</w:t>
      </w:r>
    </w:p>
    <w:p>
      <w:pPr>
        <w:keepNext/>
        <w:keepLines/>
        <w:pageBreakBefore w:val="0"/>
        <w:widowControl w:val="1"/>
        <w:spacing w:before="0" w:after="100"/>
      </w:pPr>
      <w:r>
        <w:rPr>
          <w:rFonts w:ascii="Calibri" w:hAnsi="Calibri" w:cs="Calibri" w:eastAsia="Calibri"/>
          <w:b/>
          <w:i w:val="0"/>
          <w:caps w:val="1"/>
          <w:color w:val="4C5B73"/>
          <w:spacing w:val="26"/>
          <w:sz w:val="15"/>
          <w:u w:val="none"/>
        </w:rPr>
        <w:t>Each one, with evidence</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Lender criteria</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Lender criteria"/>
        <w:tblDescription w:val="Columns: Ref, Requirement, Threshold, Position, Status"/>
      </w:tblPr>
      <w:tblGrid>
        <w:gridCol w:w="897"/>
        <w:gridCol w:w="3364"/>
        <w:gridCol w:w="1906"/>
        <w:gridCol w:w="2467"/>
        <w:gridCol w:w="1458"/>
      </w:tblGrid>
      <w:tr>
        <w:trPr>
          <w:cantSplit/>
          <w:tblHeader/>
        </w:trPr>
        <w:tc>
          <w:tcPr>
            <w:tcW w:type="dxa" w:w="897"/>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3364"/>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Requirement</w:t>
            </w:r>
          </w:p>
        </w:tc>
        <w:tc>
          <w:tcPr>
            <w:tcW w:type="dxa" w:w="1906"/>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Threshold</w:t>
            </w:r>
          </w:p>
        </w:tc>
        <w:tc>
          <w:tcPr>
            <w:tcW w:type="dxa" w:w="2467"/>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Position</w:t>
            </w:r>
          </w:p>
        </w:tc>
        <w:tc>
          <w:tcPr>
            <w:tcW w:type="dxa" w:w="145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89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36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190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{{threshold}}</w:t>
            </w:r>
          </w:p>
        </w:tc>
        <w:tc>
          <w:tcPr>
            <w:tcW w:type="dxa" w:w="246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1458"/>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9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36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190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{{threshold}}</w:t>
            </w:r>
          </w:p>
        </w:tc>
        <w:tc>
          <w:tcPr>
            <w:tcW w:type="dxa" w:w="246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1458"/>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9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36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190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{{threshold}}</w:t>
            </w:r>
          </w:p>
        </w:tc>
        <w:tc>
          <w:tcPr>
            <w:tcW w:type="dxa" w:w="246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1458"/>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9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36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190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{{threshold}}</w:t>
            </w:r>
          </w:p>
        </w:tc>
        <w:tc>
          <w:tcPr>
            <w:tcW w:type="dxa" w:w="246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1458"/>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9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36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190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{{threshold}}</w:t>
            </w:r>
          </w:p>
        </w:tc>
        <w:tc>
          <w:tcPr>
            <w:tcW w:type="dxa" w:w="246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1458"/>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9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{{ref}}</w:t>
            </w:r>
          </w:p>
        </w:tc>
        <w:tc>
          <w:tcPr>
            <w:tcW w:type="dxa" w:w="336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{{requirement}}</w:t>
            </w:r>
          </w:p>
        </w:tc>
        <w:tc>
          <w:tcPr>
            <w:tcW w:type="dxa" w:w="190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{{threshold}}</w:t>
            </w:r>
          </w:p>
        </w:tc>
        <w:tc>
          <w:tcPr>
            <w:tcW w:type="dxa" w:w="246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{{position}}</w:t>
            </w:r>
          </w:p>
        </w:tc>
        <w:tc>
          <w:tcPr>
            <w:tcW w:type="dxa" w:w="1458"/>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1D6FE0"/>
          <w:sz w:val="34"/>
          <w:u w:val="none"/>
        </w:rPr>
        <w:t xml:space="preserve">07   </w:t>
      </w:r>
      <w:r>
        <w:rPr>
          <w:rFonts w:ascii="Calibri" w:hAnsi="Calibri" w:cs="Calibri" w:eastAsia="Calibri"/>
          <w:b w:val="0"/>
          <w:i w:val="0"/>
          <w:color w:val="0C2340"/>
          <w:sz w:val="34"/>
          <w:u w:val="none"/>
        </w:rPr>
        <w:t>Servicing</w:t>
      </w:r>
    </w:p>
    <w:p>
      <w:pPr>
        <w:keepNext/>
        <w:keepLines/>
        <w:pageBreakBefore w:val="0"/>
        <w:widowControl w:val="1"/>
        <w:spacing w:before="0" w:after="100"/>
      </w:pPr>
      <w:r>
        <w:rPr>
          <w:rFonts w:ascii="Calibri" w:hAnsi="Calibri" w:cs="Calibri" w:eastAsia="Calibri"/>
          <w:b/>
          <w:i w:val="0"/>
          <w:caps w:val="1"/>
          <w:color w:val="4C5B73"/>
          <w:spacing w:val="26"/>
          <w:sz w:val="15"/>
          <w:u w:val="none"/>
        </w:rPr>
        <w:t>Fund-level calculation</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Fund servicing</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Fund servicing"/>
        <w:tblDescription w:val="Columns: Line, Description, Amount p.a."/>
      </w:tblPr>
      <w:tblGrid>
        <w:gridCol w:w="1134"/>
        <w:gridCol w:w="6009"/>
        <w:gridCol w:w="2948"/>
      </w:tblGrid>
      <w:tr>
        <w:trPr>
          <w:cantSplit/>
          <w:trHeight w:val="420" w:hRule="atLeast"/>
          <w:tblHeader/>
        </w:trPr>
        <w:tc>
          <w:tcPr>
            <w:tcW w:type="dxa" w:w="1134"/>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Line</w:t>
            </w:r>
          </w:p>
        </w:tc>
        <w:tc>
          <w:tcPr>
            <w:tcW w:type="dxa" w:w="6009"/>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Description</w:t>
            </w:r>
          </w:p>
        </w:tc>
        <w:tc>
          <w:tcPr>
            <w:tcW w:type="dxa" w:w="2948"/>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Amount p.a.</w:t>
            </w:r>
          </w:p>
        </w:tc>
      </w:tr>
      <w:tr>
        <w:trPr>
          <w:cantSplit/>
          <w:trHeight w:val="397" w:hRule="atLeast"/>
        </w:trPr>
        <w:tc>
          <w:tcPr>
            <w:tcW w:type="dxa" w:w="113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{{line}}</w:t>
            </w:r>
          </w:p>
        </w:tc>
        <w:tc>
          <w:tcPr>
            <w:tcW w:type="dxa" w:w="600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{{description}}</w:t>
            </w:r>
          </w:p>
        </w:tc>
        <w:tc>
          <w:tcPr>
            <w:tcW w:type="dxa" w:w="294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r>
      <w:tr>
        <w:trPr>
          <w:cantSplit/>
          <w:trHeight w:val="397" w:hRule="atLeast"/>
        </w:trPr>
        <w:tc>
          <w:tcPr>
            <w:tcW w:type="dxa" w:w="113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{{line}}</w:t>
            </w:r>
          </w:p>
        </w:tc>
        <w:tc>
          <w:tcPr>
            <w:tcW w:type="dxa" w:w="600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{{description}}</w:t>
            </w:r>
          </w:p>
        </w:tc>
        <w:tc>
          <w:tcPr>
            <w:tcW w:type="dxa" w:w="294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r>
      <w:tr>
        <w:trPr>
          <w:cantSplit/>
          <w:trHeight w:val="397" w:hRule="atLeast"/>
        </w:trPr>
        <w:tc>
          <w:tcPr>
            <w:tcW w:type="dxa" w:w="113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{{line}}</w:t>
            </w:r>
          </w:p>
        </w:tc>
        <w:tc>
          <w:tcPr>
            <w:tcW w:type="dxa" w:w="600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{{description}}</w:t>
            </w:r>
          </w:p>
        </w:tc>
        <w:tc>
          <w:tcPr>
            <w:tcW w:type="dxa" w:w="294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r>
      <w:tr>
        <w:trPr>
          <w:cantSplit/>
          <w:trHeight w:val="397" w:hRule="atLeast"/>
        </w:trPr>
        <w:tc>
          <w:tcPr>
            <w:tcW w:type="dxa" w:w="113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{{line}}</w:t>
            </w:r>
          </w:p>
        </w:tc>
        <w:tc>
          <w:tcPr>
            <w:tcW w:type="dxa" w:w="600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{{description}}</w:t>
            </w:r>
          </w:p>
        </w:tc>
        <w:tc>
          <w:tcPr>
            <w:tcW w:type="dxa" w:w="294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r>
      <w:tr>
        <w:trPr>
          <w:cantSplit/>
          <w:trHeight w:val="397" w:hRule="atLeast"/>
        </w:trPr>
        <w:tc>
          <w:tcPr>
            <w:tcW w:type="dxa" w:w="113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{{line}}</w:t>
            </w:r>
          </w:p>
        </w:tc>
        <w:tc>
          <w:tcPr>
            <w:tcW w:type="dxa" w:w="600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{{description}}</w:t>
            </w:r>
          </w:p>
        </w:tc>
        <w:tc>
          <w:tcPr>
            <w:tcW w:type="dxa" w:w="294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r>
      <w:tr>
        <w:trPr>
          <w:cantSplit/>
          <w:trHeight w:val="397" w:hRule="atLeast"/>
        </w:trPr>
        <w:tc>
          <w:tcPr>
            <w:tcW w:type="dxa" w:w="113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{{line}}</w:t>
            </w:r>
          </w:p>
        </w:tc>
        <w:tc>
          <w:tcPr>
            <w:tcW w:type="dxa" w:w="600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{{description}}</w:t>
            </w:r>
          </w:p>
        </w:tc>
        <w:tc>
          <w:tcPr>
            <w:tcW w:type="dxa" w:w="294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r>
      <w:tr>
        <w:trPr>
          <w:cantSplit/>
          <w:trHeight w:val="397" w:hRule="atLeast"/>
        </w:trPr>
        <w:tc>
          <w:tcPr>
            <w:tcW w:type="dxa" w:w="113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{{line}}</w:t>
            </w:r>
          </w:p>
        </w:tc>
        <w:tc>
          <w:tcPr>
            <w:tcW w:type="dxa" w:w="600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{{description}}</w:t>
            </w:r>
          </w:p>
        </w:tc>
        <w:tc>
          <w:tcPr>
            <w:tcW w:type="dxa" w:w="294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r>
      <w:tr>
        <w:trPr>
          <w:cantSplit/>
          <w:trHeight w:val="397" w:hRule="atLeast"/>
        </w:trPr>
        <w:tc>
          <w:tcPr>
            <w:tcW w:type="dxa" w:w="1134"/>
            <w:tcBorders>
              <w:top w:val="single" w:sz="4" w:space="0" w:color="DCE3ED"/>
              <w:left w:val="single" w:sz="4" w:space="0" w:color="DCE3ED"/>
              <w:bottom w:val="single" w:sz="4" w:space="0" w:color="DCE3ED"/>
              <w:right w:val="single" w:sz="4" w:space="0" w:color="DCE3ED"/>
            </w:tcBorders>
            <w:shd w:val="clear" w:color="auto" w:fill="F7F9FC"/>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color w:val="8493A8"/>
                <w:sz w:val="17"/>
                <w:u w:val="none"/>
              </w:rPr>
              <w:t>{{line}}</w:t>
            </w:r>
          </w:p>
        </w:tc>
        <w:tc>
          <w:tcPr>
            <w:tcW w:type="dxa" w:w="6009"/>
            <w:tcBorders>
              <w:top w:val="single" w:sz="4" w:space="0" w:color="DCE3ED"/>
              <w:left w:val="single" w:sz="4" w:space="0" w:color="DCE3ED"/>
              <w:bottom w:val="single" w:sz="4" w:space="0" w:color="DCE3ED"/>
              <w:right w:val="single" w:sz="4" w:space="0" w:color="DCE3ED"/>
            </w:tcBorders>
            <w:shd w:val="clear" w:color="auto" w:fill="F7F9FC"/>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{{description}}</w:t>
            </w:r>
          </w:p>
        </w:tc>
        <w:tc>
          <w:tcPr>
            <w:tcW w:type="dxa" w:w="2948"/>
            <w:tcBorders>
              <w:top w:val="single" w:sz="4" w:space="0" w:color="DCE3ED"/>
              <w:left w:val="single" w:sz="4" w:space="0" w:color="DCE3ED"/>
              <w:bottom w:val="single" w:sz="4" w:space="0" w:color="DCE3ED"/>
              <w:right w:val="single" w:sz="4" w:space="0" w:color="DCE3ED"/>
            </w:tcBorders>
            <w:shd w:val="clear" w:color="auto" w:fill="F7F9FC"/>
            <w:tcMar>
              <w:top w:w="90" w:type="dxa"/>
              <w:left w:w="126" w:type="dxa"/>
              <w:bottom w:w="90" w:type="dxa"/>
              <w:right w:w="126"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The lender shades rental income to 80% and assesses repayments at a 9.15% rate over 20 years. Contributions are accepted at 100% given an eleven-year history at or near the cap.</w:t>
      </w:r>
    </w:p>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08   </w:t>
      </w:r>
      <w:r>
        <w:rPr>
          <w:rFonts w:ascii="Calibri" w:hAnsi="Calibri" w:cs="Calibri" w:eastAsia="Calibri"/>
          <w:b w:val="0"/>
          <w:i w:val="0"/>
          <w:color w:val="0C2340"/>
          <w:sz w:val="34"/>
          <w:u w:val="none"/>
        </w:rPr>
        <w:t>Risks</w:t>
      </w:r>
    </w:p>
    <w:p>
      <w:pPr>
        <w:keepNext/>
        <w:keepLines/>
        <w:pageBreakBefore w:val="0"/>
        <w:widowControl w:val="1"/>
        <w:spacing w:before="0" w:after="100"/>
      </w:pPr>
      <w:r>
        <w:rPr>
          <w:rFonts w:ascii="Calibri" w:hAnsi="Calibri" w:cs="Calibri" w:eastAsia="Calibri"/>
          <w:b/>
          <w:i w:val="0"/>
          <w:caps w:val="1"/>
          <w:color w:val="4C5B73"/>
          <w:spacing w:val="26"/>
          <w:sz w:val="15"/>
          <w:u w:val="none"/>
        </w:rPr>
        <w:t>What the trustees must weigh</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B3261E"/>
          <w:spacing w:val="26"/>
          <w:sz w:val="15"/>
          <w:u w:val="none"/>
        </w:rPr>
        <w:t>Risks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Risks"/>
        <w:tblDescription w:val="Columns: Risk, Severity, Mitigation"/>
      </w:tblPr>
      <w:tblGrid>
        <w:gridCol w:w="4037"/>
        <w:gridCol w:w="1413"/>
        <w:gridCol w:w="4642"/>
      </w:tblGrid>
      <w:tr>
        <w:trPr>
          <w:cantSplit/>
          <w:tblHeader/>
        </w:trPr>
        <w:tc>
          <w:tcPr>
            <w:tcW w:type="dxa" w:w="4037"/>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Risk</w:t>
            </w:r>
          </w:p>
        </w:tc>
        <w:tc>
          <w:tcPr>
            <w:tcW w:type="dxa" w:w="1413"/>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Severity</w:t>
            </w:r>
          </w:p>
        </w:tc>
        <w:tc>
          <w:tcPr>
            <w:tcW w:type="dxa" w:w="4642"/>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Mitigation</w:t>
            </w:r>
          </w:p>
        </w:tc>
      </w:tr>
      <w:tr>
        <w:trPr>
          <w:cantSplit/>
        </w:trPr>
        <w:tc>
          <w:tcPr>
            <w:tcW w:type="dxa" w:w="403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{{risk.description}}</w:t>
            </w:r>
          </w:p>
        </w:tc>
        <w:tc>
          <w:tcPr>
            <w:tcW w:type="dxa" w:w="1413"/>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{{risk.mitigation}}</w:t>
            </w:r>
          </w:p>
        </w:tc>
      </w:tr>
      <w:tr>
        <w:trPr>
          <w:cantSplit/>
        </w:trPr>
        <w:tc>
          <w:tcPr>
            <w:tcW w:type="dxa" w:w="403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{{risk.description}}</w:t>
            </w:r>
          </w:p>
        </w:tc>
        <w:tc>
          <w:tcPr>
            <w:tcW w:type="dxa" w:w="1413"/>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{{risk.mitigation}}</w:t>
            </w:r>
          </w:p>
        </w:tc>
      </w:tr>
      <w:tr>
        <w:trPr>
          <w:cantSplit/>
        </w:trPr>
        <w:tc>
          <w:tcPr>
            <w:tcW w:type="dxa" w:w="403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{{risk.description}}</w:t>
            </w:r>
          </w:p>
        </w:tc>
        <w:tc>
          <w:tcPr>
            <w:tcW w:type="dxa" w:w="1413"/>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{{risk.mitigation}}</w:t>
            </w:r>
          </w:p>
        </w:tc>
      </w:tr>
      <w:tr>
        <w:trPr>
          <w:cantSplit/>
        </w:trPr>
        <w:tc>
          <w:tcPr>
            <w:tcW w:type="dxa" w:w="403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{{risk.description}}</w:t>
            </w:r>
          </w:p>
        </w:tc>
        <w:tc>
          <w:tcPr>
            <w:tcW w:type="dxa" w:w="1413"/>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{{risk.mitigation}}</w:t>
            </w:r>
          </w:p>
        </w:tc>
      </w:tr>
      <w:tr>
        <w:trPr>
          <w:cantSplit/>
        </w:trPr>
        <w:tc>
          <w:tcPr>
            <w:tcW w:type="dxa" w:w="403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{{risk.description}}</w:t>
            </w:r>
          </w:p>
        </w:tc>
        <w:tc>
          <w:tcPr>
            <w:tcW w:type="dxa" w:w="1413"/>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{{risk.mitigation}}</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09   </w:t>
      </w:r>
      <w:r>
        <w:rPr>
          <w:rFonts w:ascii="Calibri" w:hAnsi="Calibri" w:cs="Calibri" w:eastAsia="Calibri"/>
          <w:b w:val="0"/>
          <w:i w:val="0"/>
          <w:color w:val="0C2340"/>
          <w:sz w:val="34"/>
          <w:u w:val="none"/>
        </w:rPr>
        <w:t>Outstanding items</w:t>
      </w:r>
    </w:p>
    <w:p>
      <w:pPr>
        <w:keepNext/>
        <w:keepLines/>
        <w:pageBreakBefore w:val="0"/>
        <w:widowControl w:val="1"/>
        <w:spacing w:before="0" w:after="100"/>
      </w:pPr>
      <w:r>
        <w:rPr>
          <w:rFonts w:ascii="Calibri" w:hAnsi="Calibri" w:cs="Calibri" w:eastAsia="Calibri"/>
          <w:b/>
          <w:i w:val="0"/>
          <w:caps w:val="1"/>
          <w:color w:val="4C5B73"/>
          <w:spacing w:val="26"/>
          <w:sz w:val="15"/>
          <w:u w:val="none"/>
        </w:rPr>
        <w:t>Before proceeding</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Outstanding</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 Item, Owner, Due, Status"/>
      </w:tblPr>
      <w:tblGrid>
        <w:gridCol w:w="444"/>
        <w:gridCol w:w="5101"/>
        <w:gridCol w:w="1774"/>
        <w:gridCol w:w="1331"/>
        <w:gridCol w:w="1442"/>
      </w:tblGrid>
      <w:tr>
        <w:trPr>
          <w:cantSplit/>
          <w:trHeight w:val="420" w:hRule="atLeast"/>
          <w:tblHeader/>
        </w:trPr>
        <w:tc>
          <w:tcPr>
            <w:tcW w:type="dxa" w:w="444"/>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p>
        </w:tc>
        <w:tc>
          <w:tcPr>
            <w:tcW w:type="dxa" w:w="5101"/>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1774"/>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Owner</w:t>
            </w:r>
          </w:p>
        </w:tc>
        <w:tc>
          <w:tcPr>
            <w:tcW w:type="dxa" w:w="1331"/>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Due</w:t>
            </w:r>
          </w:p>
        </w:tc>
        <w:tc>
          <w:tcPr>
            <w:tcW w:type="dxa" w:w="1442"/>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Height w:val="397" w:hRule="atLeast"/>
        </w:trPr>
        <w:tc>
          <w:tcPr>
            <w:tcW w:type="dxa" w:w="44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{{outstanding[0]}}</w:t>
            </w:r>
          </w:p>
        </w:tc>
        <w:tc>
          <w:tcPr>
            <w:tcW w:type="dxa" w:w="177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{{outstanding[1]}}</w:t>
            </w:r>
          </w:p>
        </w:tc>
        <w:tc>
          <w:tcPr>
            <w:tcW w:type="dxa" w:w="177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{{outstanding[2]}}</w:t>
            </w:r>
          </w:p>
        </w:tc>
        <w:tc>
          <w:tcPr>
            <w:tcW w:type="dxa" w:w="177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{{outstanding[3]}}</w:t>
            </w:r>
          </w:p>
        </w:tc>
        <w:tc>
          <w:tcPr>
            <w:tcW w:type="dxa" w:w="177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{{outstanding[4]}}</w:t>
            </w:r>
          </w:p>
        </w:tc>
        <w:tc>
          <w:tcPr>
            <w:tcW w:type="dxa" w:w="177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{{outstanding[5]}}</w:t>
            </w:r>
          </w:p>
        </w:tc>
        <w:tc>
          <w:tcPr>
            <w:tcW w:type="dxa" w:w="177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4C5B73"/>
              <w:bottom w:val="single" w:sz="6" w:space="0" w:color="DCE3ED"/>
              <w:right w:val="single" w:sz="6" w:space="0" w:color="DCE3ED"/>
            </w:tcBorders>
            <w:shd w:val="clear" w:color="auto" w:fill="FFFFFF"/>
            <w:tcMar>
              <w:top w:w="162" w:type="dxa"/>
              <w:left w:w="189" w:type="dxa"/>
              <w:bottom w:w="162" w:type="dxa"/>
              <w:right w:w="189" w:type="dxa"/>
            </w:tcMar>
          </w:tcPr>
          <w:p>
            <w:pPr>
              <w:keepNext/>
              <w:keepLines/>
              <w:pageBreakBefore w:val="0"/>
              <w:widowControl w:val="1"/>
              <w:spacing w:before="0" w:after="80"/>
            </w:pPr>
            <w:r>
              <w:rPr>
                <w:rFonts w:ascii="Calibri" w:hAnsi="Calibri" w:cs="Calibri" w:eastAsia="Calibri"/>
                <w:b/>
                <w:i w:val="0"/>
                <w:caps w:val="1"/>
                <w:color w:val="4C5B73"/>
                <w:spacing w:val="26"/>
                <w:sz w:val="15"/>
                <w:u w:val="none"/>
              </w:rPr>
              <w:t>Professional referrals</w:t>
            </w:r>
          </w:p>
          <w:p>
            <w:pPr>
              <w:keepNext w:val="0"/>
              <w:keepLines/>
              <w:pageBreakBefore w:val="0"/>
              <w:widowControl w:val="1"/>
              <w:spacing w:before="0" w:after="0" w:line="312" w:lineRule="auto"/>
            </w:pPr>
            <w:r>
              <w:rPr>
                <w:rFonts w:ascii="Calibri" w:hAnsi="Calibri" w:cs="Calibri" w:eastAsia="Calibri"/>
                <w:b w:val="0"/>
                <w:i w:val="0"/>
                <w:color w:val="10192A"/>
                <w:sz w:val="17"/>
                <w:u w:val="none"/>
              </w:rPr>
              <w:t>This assessment does not substitute for advice the trustees are required to obtain. Independent licensed financial advice, legal advice on the bare trust, and accounting advice on the tax consequences are each required before the arrangement is entered into.</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10   </w:t>
      </w:r>
      <w:r>
        <w:rPr>
          <w:rFonts w:ascii="Calibri" w:hAnsi="Calibri" w:cs="Calibri" w:eastAsia="Calibri"/>
          <w:b w:val="0"/>
          <w:i w:val="0"/>
          <w:color w:val="0C2340"/>
          <w:sz w:val="34"/>
          <w:u w:val="none"/>
        </w:rPr>
        <w:t>Approvals</w:t>
      </w:r>
    </w:p>
    <w:p>
      <w:pPr>
        <w:keepNext/>
        <w:keepLines/>
        <w:pageBreakBefore w:val="0"/>
        <w:widowControl w:val="1"/>
        <w:spacing w:before="0" w:after="100"/>
      </w:pPr>
      <w:r>
        <w:rPr>
          <w:rFonts w:ascii="Calibri" w:hAnsi="Calibri" w:cs="Calibri" w:eastAsia="Calibri"/>
          <w:b/>
          <w:i w:val="0"/>
          <w:caps w:val="1"/>
          <w:color w:val="4C5B73"/>
          <w:spacing w:val="26"/>
          <w:sz w:val="15"/>
          <w:u w:val="none"/>
        </w:rPr>
        <w:t>Prepared and reviewed</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Approvals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Approvals"/>
        <w:tblDescription w:val="Columns: Role, Name, Date, Status"/>
      </w:tblPr>
      <w:tblGrid>
        <w:gridCol w:w="2865"/>
        <w:gridCol w:w="3239"/>
        <w:gridCol w:w="1869"/>
        <w:gridCol w:w="2118"/>
      </w:tblGrid>
      <w:tr>
        <w:trPr>
          <w:cantSplit/>
          <w:tblHeader/>
        </w:trPr>
        <w:tc>
          <w:tcPr>
            <w:tcW w:type="dxa" w:w="2865"/>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Role</w:t>
            </w:r>
          </w:p>
        </w:tc>
        <w:tc>
          <w:tcPr>
            <w:tcW w:type="dxa" w:w="323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Name</w:t>
            </w:r>
          </w:p>
        </w:tc>
        <w:tc>
          <w:tcPr>
            <w:tcW w:type="dxa" w:w="186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Date</w:t>
            </w:r>
          </w:p>
        </w:tc>
        <w:tc>
          <w:tcPr>
            <w:tcW w:type="dxa" w:w="211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286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{{role}}</w:t>
            </w:r>
          </w:p>
        </w:tc>
        <w:tc>
          <w:tcPr>
            <w:tcW w:type="dxa" w:w="32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{{name}}</w:t>
            </w:r>
          </w:p>
        </w:tc>
        <w:tc>
          <w:tcPr>
            <w:tcW w:type="dxa" w:w="18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{{approval.date}}</w:t>
            </w:r>
          </w:p>
        </w:tc>
        <w:tc>
          <w:tcPr>
            <w:tcW w:type="dxa" w:w="2118"/>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286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{{role}}</w:t>
            </w:r>
          </w:p>
        </w:tc>
        <w:tc>
          <w:tcPr>
            <w:tcW w:type="dxa" w:w="32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{{name}}</w:t>
            </w:r>
          </w:p>
        </w:tc>
        <w:tc>
          <w:tcPr>
            <w:tcW w:type="dxa" w:w="18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{{approval.date}}</w:t>
            </w:r>
          </w:p>
        </w:tc>
        <w:tc>
          <w:tcPr>
            <w:tcW w:type="dxa" w:w="2118"/>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286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{{role}}</w:t>
            </w:r>
          </w:p>
        </w:tc>
        <w:tc>
          <w:tcPr>
            <w:tcW w:type="dxa" w:w="32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{{name}}</w:t>
            </w:r>
          </w:p>
        </w:tc>
        <w:tc>
          <w:tcPr>
            <w:tcW w:type="dxa" w:w="18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{{approval.date}}</w:t>
            </w:r>
          </w:p>
        </w:tc>
        <w:tc>
          <w:tcPr>
            <w:tcW w:type="dxa" w:w="2118"/>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0C2340"/>
          <w:sz w:val="34"/>
          <w:u w:val="none"/>
        </w:rPr>
        <w:t>Important information</w:t>
      </w:r>
    </w:p>
    <w:p>
      <w:pPr>
        <w:keepNext/>
        <w:keepLines/>
        <w:pageBreakBefore w:val="0"/>
        <w:widowControl w:val="1"/>
        <w:spacing w:before="0" w:after="100"/>
      </w:pPr>
      <w:r>
        <w:rPr>
          <w:rFonts w:ascii="Calibri" w:hAnsi="Calibri" w:cs="Calibri" w:eastAsia="Calibri"/>
          <w:b/>
          <w:i w:val="0"/>
          <w:caps w:val="1"/>
          <w:color w:val="4C5B73"/>
          <w:spacing w:val="26"/>
          <w:sz w:val="15"/>
          <w:u w:val="none"/>
        </w:rPr>
        <w:t>Disclaimer, privacy and terms</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12" w:lineRule="auto"/>
      </w:pPr>
      <w:r>
        <w:rPr>
          <w:rFonts w:ascii="Calibri" w:hAnsi="Calibri" w:cs="Calibri" w:eastAsia="Calibri"/>
          <w:b w:val="0"/>
          <w:i w:val="0"/>
          <w:color w:val="4C5B73"/>
          <w:sz w:val="17"/>
          <w:u w:val="none"/>
        </w:rPr>
        <w:t>{{legal.disclaimer}}</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12" w:lineRule="auto"/>
      </w:pPr>
      <w:r>
        <w:rPr>
          <w:rFonts w:ascii="Calibri" w:hAnsi="Calibri" w:cs="Calibri" w:eastAsia="Calibri"/>
          <w:b w:val="0"/>
          <w:i w:val="0"/>
          <w:color w:val="4C5B73"/>
          <w:sz w:val="17"/>
          <w:u w:val="none"/>
        </w:rPr>
        <w:t>{{legal.privacyNotice}}</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12" w:lineRule="auto"/>
      </w:pPr>
      <w:r>
        <w:rPr>
          <w:rFonts w:ascii="Calibri" w:hAnsi="Calibri" w:cs="Calibri" w:eastAsia="Calibri"/>
          <w:b w:val="0"/>
          <w:i w:val="0"/>
          <w:color w:val="4C5B73"/>
          <w:sz w:val="17"/>
          <w:u w:val="none"/>
        </w:rPr>
        <w:t>{{legal.terms}}</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pPr>
          <w:r>
            <w:rPr>
              <w:rFonts w:ascii="Calibri" w:hAnsi="Calibri" w:cs="Calibri" w:eastAsia="Calibri"/>
              <w:b/>
              <w:i w:val="0"/>
              <w:caps w:val="1"/>
              <w:color w:val="1D6FE0"/>
              <w:spacing w:val="26"/>
              <w:sz w:val="14"/>
              <w:u w:val="none"/>
            </w:rPr>
            <w:t>COMMERCIAL IN CONFIDENCE</w:t>
          </w:r>
          <w:r>
            <w:rPr>
              <w:rFonts w:ascii="Calibri" w:hAnsi="Calibri" w:cs="Calibri" w:eastAsia="Calibri"/>
              <w:b w:val="0"/>
              <w:i w:val="0"/>
              <w:color w:val="8493A8"/>
              <w:sz w:val="14"/>
              <w:u w:val="none"/>
            </w:rPr>
            <w:t xml:space="preserve">    {{document.reference}}</w:t>
          </w:r>
        </w:p>
      </w:tc>
      <w:tc>
        <w:tcPr>
          <w:tcW w:type="dxa" w:w="4440"/>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v{{document.version}}</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pPr>
          <w:r>
            <w:rPr>
              <w:rFonts w:ascii="Calibri" w:hAnsi="Calibri" w:cs="Calibri" w:eastAsia="Calibri"/>
              <w:b/>
              <w:i w:val="0"/>
              <w:caps w:val="1"/>
              <w:color w:val="1D6FE0"/>
              <w:spacing w:val="26"/>
              <w:sz w:val="14"/>
              <w:u w:val="none"/>
            </w:rPr>
            <w:t>COMMERCIAL IN CONFIDENCE</w:t>
          </w:r>
          <w:r>
            <w:rPr>
              <w:rFonts w:ascii="Calibri" w:hAnsi="Calibri" w:cs="Calibri" w:eastAsia="Calibri"/>
              <w:b w:val="0"/>
              <w:i w:val="0"/>
              <w:color w:val="8493A8"/>
              <w:sz w:val="14"/>
              <w:u w:val="none"/>
            </w:rPr>
            <w:t xml:space="preserve">    {{document.reference}}</w:t>
          </w:r>
        </w:p>
      </w:tc>
      <w:tc>
        <w:tcPr>
          <w:tcW w:type="dxa" w:w="4440"/>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v{{document.version}}</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D6FE0"/>
            <w:right w:val="nil"/>
          </w:tcBorders>
          <w:shd w:val="clear" w:color="auto" w:fill="EDF1F7"/>
          <w:tcMar>
            <w:top w:w="60" w:type="dxa"/>
            <w:left w:w="90" w:type="dxa"/>
            <w:bottom w:w="70" w:type="dxa"/>
            <w:right w:w="90" w:type="dxa"/>
          </w:tcMar>
        </w:tcPr>
        <w:p>
          <w:pPr>
            <w:keepNext w:val="0"/>
            <w:keepLines/>
            <w:pageBreakBefore w:val="0"/>
            <w:widowControl w:val="1"/>
            <w:spacing w:before="0" w:after="0"/>
          </w:pPr>
          <w:r>
            <w:rPr>
              <w:rFonts w:ascii="Calibri" w:hAnsi="Calibri" w:cs="Calibri" w:eastAsia="Calibri"/>
              <w:b/>
              <w:i w:val="0"/>
              <w:caps w:val="1"/>
              <w:color w:val="4C5B73"/>
              <w:spacing w:val="26"/>
              <w:sz w:val="14"/>
              <w:u w:val="none"/>
            </w:rPr>
            <w:t>Aurixa Systems</w:t>
          </w:r>
        </w:p>
      </w:tc>
      <w:tc>
        <w:tcPr>
          <w:tcW w:type="dxa" w:w="5046"/>
          <w:tcBorders>
            <w:top w:val="nil"/>
            <w:left w:val="nil"/>
            <w:bottom w:val="single" w:sz="6" w:space="0" w:color="1D6FE0"/>
            <w:right w:val="nil"/>
          </w:tcBorders>
          <w:shd w:val="clear" w:color="auto" w:fill="EDF1F7"/>
          <w:tcMar>
            <w:top w:w="60" w:type="dxa"/>
            <w:left w:w="90" w:type="dxa"/>
            <w:bottom w:w="70" w:type="dxa"/>
            <w:right w:w="90" w:type="dxa"/>
          </w:tcMar>
        </w:tcPr>
        <w:p>
          <w:pPr>
            <w:keepNext w:val="0"/>
            <w:keepLines/>
            <w:pageBreakBefore w:val="0"/>
            <w:widowControl w:val="1"/>
            <w:spacing w:before="0" w:after="0"/>
            <w:jc w:val="right"/>
          </w:pPr>
          <w:r>
            <w:rPr>
              <w:rFonts w:ascii="Calibri" w:hAnsi="Calibri" w:cs="Calibri" w:eastAsia="Calibri"/>
              <w:b/>
              <w:i w:val="0"/>
              <w:caps w:val="1"/>
              <w:color w:val="4C5B73"/>
              <w:spacing w:val="26"/>
              <w:sz w:val="14"/>
              <w:u w:val="none"/>
            </w:rPr>
            <w:t>SMSF Finance Assessment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SMSF Finance Assessment</dc:title>
  <dc:subject>Assessment of a limited-recourse borrowing arrangement for a self-managed super fund, against fund, trustee, asset and lender requirements.</dc:subject>
  <dc:creator>Aurixa Systems</dc:creator>
  <cp:keywords>SMSF, LRBA, Superannuation lending, Finance &amp; Lending,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