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7824" w:hRule="atLeast"/>
        </w:trPr>
        <w:tc>
          <w:tcPr>
            <w:tcW w:type="dxa" w:w="10091"/>
            <w:tcBorders>
              <w:top w:val="single" w:sz="10" w:space="0" w:color="1D6FE0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D6FE0"/>
                    <w:left w:val="dashed" w:sz="8" w:space="0" w:color="1D6FE0"/>
                    <w:bottom w:val="dashed" w:sz="8" w:space="0" w:color="1D6FE0"/>
                    <w:right w:val="dashed" w:sz="8" w:space="0" w:color="1D6FE0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D6FE0"/>
                      <w:spacing w:val="32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56"/>
                <w:sz w:val="16"/>
                <w:u w:val="none"/>
              </w:rPr>
              <w:t>Internal working paper — not for client circulation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{{report.title}}</w:t>
            </w:r>
          </w:p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1701"/>
            </w:tblGrid>
            <w:tr>
              <w:trPr>
                <w:cantSplit/>
              </w:trPr>
              <w:tc>
                <w:tcPr>
                  <w:tcW w:type="dxa" w:w="170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48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{{assessment.identity}}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96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File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Lender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{{assessment.lender}}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Calculator 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{{assessment.calculatorVersion}}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Assessment date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{{assessment.date}}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12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01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Outcome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Surplus and maximum loan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MONTHLY SURPLUS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NET SURPLUS RATIO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MAXIMUM LOAN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D6FE0"/>
                <w:spacing w:val="24"/>
                <w:sz w:val="14"/>
                <w:u w:val="none"/>
              </w:rPr>
              <w:t>ASSESSMENT RATE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{{outcome.surplus}}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After assessed commitments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{{outcome.nsr}}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Minimum 1.00</w:t>
            </w:r>
          </w:p>
        </w:tc>
        <w:tc>
          <w:tcPr>
            <w:tcW w:type="dxa" w:w="2523"/>
            <w:tcBorders>
              <w:bottom w:val="single" w:sz="8" w:space="0" w:color="1D6FE0"/>
              <w:right w:val="single" w:sz="24" w:space="0" w:color="FFFFFF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{{outcome.maxLoan}}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At the assessment rate</w:t>
            </w:r>
          </w:p>
        </w:tc>
        <w:tc>
          <w:tcPr>
            <w:tcW w:type="dxa" w:w="2523"/>
            <w:tcBorders>
              <w:bottom w:val="single" w:sz="8" w:space="0" w:color="1D6FE0"/>
              <w:right w:val="nil"/>
            </w:tcBorders>
            <w:shd w:val="clear" w:color="auto" w:fill="F2F7FE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32"/>
                <w:u w:val="none"/>
              </w:rPr>
              <w:t>{{outcome.rate}}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6.14% + 2.81% buffer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02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Income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Every line, with shading applied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Income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Income"/>
        <w:tblDescription w:val="Columns: Line, Applicant, Income type, Gross p.a., Shading, Assessed p.a., Assessed p.m."/>
      </w:tblPr>
      <w:tblGrid>
        <w:gridCol w:w="908"/>
        <w:gridCol w:w="1615"/>
        <w:gridCol w:w="2220"/>
        <w:gridCol w:w="1514"/>
        <w:gridCol w:w="1009"/>
        <w:gridCol w:w="1514"/>
        <w:gridCol w:w="1312"/>
      </w:tblGrid>
      <w:tr>
        <w:trPr>
          <w:cantSplit/>
          <w:trHeight w:val="420" w:hRule="atLeast"/>
          <w:tblHeader/>
        </w:trPr>
        <w:tc>
          <w:tcPr>
            <w:tcW w:type="dxa" w:w="90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Line</w:t>
            </w:r>
          </w:p>
        </w:tc>
        <w:tc>
          <w:tcPr>
            <w:tcW w:type="dxa" w:w="161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Applicant</w:t>
            </w:r>
          </w:p>
        </w:tc>
        <w:tc>
          <w:tcPr>
            <w:tcW w:type="dxa" w:w="222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Income type</w:t>
            </w:r>
          </w:p>
        </w:tc>
        <w:tc>
          <w:tcPr>
            <w:tcW w:type="dxa" w:w="151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Gross p.a.</w:t>
            </w:r>
          </w:p>
        </w:tc>
        <w:tc>
          <w:tcPr>
            <w:tcW w:type="dxa" w:w="100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Shading</w:t>
            </w:r>
          </w:p>
        </w:tc>
        <w:tc>
          <w:tcPr>
            <w:tcW w:type="dxa" w:w="151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Assessed p.a.</w:t>
            </w:r>
          </w:p>
        </w:tc>
        <w:tc>
          <w:tcPr>
            <w:tcW w:type="dxa" w:w="131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Assessed p.m.</w:t>
            </w:r>
          </w:p>
        </w:tc>
      </w:tr>
      <w:tr>
        <w:trPr>
          <w:cantSplit/>
          <w:trHeight w:val="397" w:hRule="atLeast"/>
        </w:trPr>
        <w:tc>
          <w:tcPr>
            <w:tcW w:type="dxa" w:w="9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161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22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00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  <w:tc>
          <w:tcPr>
            <w:tcW w:type="dxa" w:w="13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{{monthly}}</w:t>
            </w:r>
          </w:p>
        </w:tc>
      </w:tr>
      <w:tr>
        <w:trPr>
          <w:cantSplit/>
          <w:trHeight w:val="397" w:hRule="atLeast"/>
        </w:trPr>
        <w:tc>
          <w:tcPr>
            <w:tcW w:type="dxa" w:w="9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161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22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00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  <w:tc>
          <w:tcPr>
            <w:tcW w:type="dxa" w:w="13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{{monthly}}</w:t>
            </w:r>
          </w:p>
        </w:tc>
      </w:tr>
      <w:tr>
        <w:trPr>
          <w:cantSplit/>
          <w:trHeight w:val="397" w:hRule="atLeast"/>
        </w:trPr>
        <w:tc>
          <w:tcPr>
            <w:tcW w:type="dxa" w:w="9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161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22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00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  <w:tc>
          <w:tcPr>
            <w:tcW w:type="dxa" w:w="13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{{monthly}}</w:t>
            </w:r>
          </w:p>
        </w:tc>
      </w:tr>
      <w:tr>
        <w:trPr>
          <w:cantSplit/>
          <w:trHeight w:val="397" w:hRule="atLeast"/>
        </w:trPr>
        <w:tc>
          <w:tcPr>
            <w:tcW w:type="dxa" w:w="9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161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22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00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  <w:tc>
          <w:tcPr>
            <w:tcW w:type="dxa" w:w="13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{{monthly}}</w:t>
            </w:r>
          </w:p>
        </w:tc>
      </w:tr>
      <w:tr>
        <w:trPr>
          <w:cantSplit/>
          <w:trHeight w:val="397" w:hRule="atLeast"/>
        </w:trPr>
        <w:tc>
          <w:tcPr>
            <w:tcW w:type="dxa" w:w="9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161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22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00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  <w:tc>
          <w:tcPr>
            <w:tcW w:type="dxa" w:w="13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{{monthly}}</w:t>
            </w:r>
          </w:p>
        </w:tc>
      </w:tr>
      <w:tr>
        <w:trPr>
          <w:cantSplit/>
          <w:trHeight w:val="397" w:hRule="atLeast"/>
        </w:trPr>
        <w:tc>
          <w:tcPr>
            <w:tcW w:type="dxa" w:w="90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161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{{applicant}}</w:t>
            </w:r>
          </w:p>
        </w:tc>
        <w:tc>
          <w:tcPr>
            <w:tcW w:type="dxa" w:w="222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{{type}}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{{gross}}</w:t>
            </w:r>
          </w:p>
        </w:tc>
        <w:tc>
          <w:tcPr>
            <w:tcW w:type="dxa" w:w="100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{{shading}}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  <w:tc>
          <w:tcPr>
            <w:tcW w:type="dxa" w:w="131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{{monthly}}</w:t>
            </w:r>
          </w:p>
        </w:tc>
      </w:tr>
      <w:tr>
        <w:trPr>
          <w:cantSplit/>
          <w:trHeight w:val="397" w:hRule="atLeast"/>
        </w:trPr>
        <w:tc>
          <w:tcPr>
            <w:tcW w:type="dxa" w:w="90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615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220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assessed income</w:t>
            </w: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$377,860</w:t>
            </w:r>
          </w:p>
        </w:tc>
        <w:tc>
          <w:tcPr>
            <w:tcW w:type="dxa" w:w="1009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514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$362,274</w:t>
            </w:r>
          </w:p>
        </w:tc>
        <w:tc>
          <w:tcPr>
            <w:tcW w:type="dxa" w:w="1312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$30,190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Lender A shades residential rental income to 90% and bonus income to 80% on a two-year average. Line references are cited in the calculation at section five.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03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Commitments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With assessment treatment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Commitments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mmitments"/>
        <w:tblDescription w:val="Columns: Line, Commitment, Lender, Limit / balance, Actual p.m., Treatment, Assessed p.m."/>
      </w:tblPr>
      <w:tblGrid>
        <w:gridCol w:w="865"/>
        <w:gridCol w:w="2114"/>
        <w:gridCol w:w="1153"/>
        <w:gridCol w:w="1346"/>
        <w:gridCol w:w="1153"/>
        <w:gridCol w:w="2210"/>
        <w:gridCol w:w="1249"/>
      </w:tblGrid>
      <w:tr>
        <w:trPr>
          <w:cantSplit/>
          <w:trHeight w:val="420" w:hRule="atLeast"/>
          <w:tblHeader/>
        </w:trPr>
        <w:tc>
          <w:tcPr>
            <w:tcW w:type="dxa" w:w="86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Line</w:t>
            </w:r>
          </w:p>
        </w:tc>
        <w:tc>
          <w:tcPr>
            <w:tcW w:type="dxa" w:w="211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Commitment</w:t>
            </w:r>
          </w:p>
        </w:tc>
        <w:tc>
          <w:tcPr>
            <w:tcW w:type="dxa" w:w="115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Lender</w:t>
            </w:r>
          </w:p>
        </w:tc>
        <w:tc>
          <w:tcPr>
            <w:tcW w:type="dxa" w:w="1346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Limit / balance</w:t>
            </w:r>
          </w:p>
        </w:tc>
        <w:tc>
          <w:tcPr>
            <w:tcW w:type="dxa" w:w="1153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Actual p.m.</w:t>
            </w:r>
          </w:p>
        </w:tc>
        <w:tc>
          <w:tcPr>
            <w:tcW w:type="dxa" w:w="221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Treatment</w:t>
            </w:r>
          </w:p>
        </w:tc>
        <w:tc>
          <w:tcPr>
            <w:tcW w:type="dxa" w:w="124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Assessed p.m.</w:t>
            </w:r>
          </w:p>
        </w:tc>
      </w:tr>
      <w:tr>
        <w:trPr>
          <w:cantSplit/>
          <w:trHeight w:val="397" w:hRule="atLeast"/>
        </w:trPr>
        <w:tc>
          <w:tcPr>
            <w:tcW w:type="dxa" w:w="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21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{{commitment}}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34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221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2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21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{{commitment}}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34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221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2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21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{{commitment}}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34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221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2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21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{{commitment}}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34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221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2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21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{{commitment}}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34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221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2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2114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{{commitment}}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{{lender}}</w:t>
            </w:r>
          </w:p>
        </w:tc>
        <w:tc>
          <w:tcPr>
            <w:tcW w:type="dxa" w:w="1346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{{limit}}</w:t>
            </w: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{{actual}}</w:t>
            </w:r>
          </w:p>
        </w:tc>
        <w:tc>
          <w:tcPr>
            <w:tcW w:type="dxa" w:w="2210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249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{{assessed}}</w:t>
            </w:r>
          </w:p>
        </w:tc>
      </w:tr>
      <w:tr>
        <w:trPr>
          <w:cantSplit/>
          <w:trHeight w:val="397" w:hRule="atLeast"/>
        </w:trPr>
        <w:tc>
          <w:tcPr>
            <w:tcW w:type="dxa" w:w="86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114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1346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1153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</w:p>
        </w:tc>
        <w:tc>
          <w:tcPr>
            <w:tcW w:type="dxa" w:w="2210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assessed commitments</w:t>
            </w:r>
          </w:p>
        </w:tc>
        <w:tc>
          <w:tcPr>
            <w:tcW w:type="dxa" w:w="1249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$12,951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04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Living expenses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Declared against benchmark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Living expenses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Living expenses"/>
        <w:tblDescription w:val="Columns: Line, Basis, Amount p.m., Applied, Note"/>
      </w:tblPr>
      <w:tblGrid>
        <w:gridCol w:w="1020"/>
        <w:gridCol w:w="3855"/>
        <w:gridCol w:w="1587"/>
        <w:gridCol w:w="1247"/>
        <w:gridCol w:w="2381"/>
      </w:tblGrid>
      <w:tr>
        <w:trPr>
          <w:cantSplit/>
          <w:trHeight w:val="420" w:hRule="atLeast"/>
          <w:tblHeader/>
        </w:trPr>
        <w:tc>
          <w:tcPr>
            <w:tcW w:type="dxa" w:w="102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Line</w:t>
            </w:r>
          </w:p>
        </w:tc>
        <w:tc>
          <w:tcPr>
            <w:tcW w:type="dxa" w:w="385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Basis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 p.m.</w:t>
            </w:r>
          </w:p>
        </w:tc>
        <w:tc>
          <w:tcPr>
            <w:tcW w:type="dxa" w:w="1247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Applied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Note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385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58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24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{{applied}}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385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58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24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{{applied}}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3855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{{basis}}</w:t>
            </w:r>
          </w:p>
        </w:tc>
        <w:tc>
          <w:tcPr>
            <w:tcW w:type="dxa" w:w="158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  <w:tc>
          <w:tcPr>
            <w:tcW w:type="dxa" w:w="1247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{{applied}}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{{note}}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3855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Total applied living expenses</w:t>
            </w:r>
          </w:p>
        </w:tc>
        <w:tc>
          <w:tcPr>
            <w:tcW w:type="dxa" w:w="1587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$7,460</w:t>
            </w:r>
          </w:p>
        </w:tc>
        <w:tc>
          <w:tcPr>
            <w:tcW w:type="dxa" w:w="1247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05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Calculation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Line by line to the outcome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Servicing calculation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Servicing calculation"/>
        <w:tblDescription w:val="Columns: Line, Description, Reference, Amount p.m."/>
      </w:tblPr>
      <w:tblGrid>
        <w:gridCol w:w="1020"/>
        <w:gridCol w:w="4762"/>
        <w:gridCol w:w="2381"/>
        <w:gridCol w:w="1928"/>
      </w:tblGrid>
      <w:tr>
        <w:trPr>
          <w:cantSplit/>
          <w:trHeight w:val="420" w:hRule="atLeast"/>
          <w:tblHeader/>
        </w:trPr>
        <w:tc>
          <w:tcPr>
            <w:tcW w:type="dxa" w:w="102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Line</w:t>
            </w:r>
          </w:p>
        </w:tc>
        <w:tc>
          <w:tcPr>
            <w:tcW w:type="dxa" w:w="4762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Description</w:t>
            </w:r>
          </w:p>
        </w:tc>
        <w:tc>
          <w:tcPr>
            <w:tcW w:type="dxa" w:w="2381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Reference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Amount p.m.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76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{{reference}}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76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{{reference}}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76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{{reference}}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76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{{reference}}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76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{{reference}}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76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{{reference}}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/>
                <w:color w:val="8493A8"/>
                <w:sz w:val="17"/>
                <w:u w:val="none"/>
              </w:rPr>
              <w:t>{{line}}</w:t>
            </w:r>
          </w:p>
        </w:tc>
        <w:tc>
          <w:tcPr>
            <w:tcW w:type="dxa" w:w="4762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{{description}}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{{reference}}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4" w:space="0" w:color="DCE3ED"/>
              <w:right w:val="nil"/>
            </w:tcBorders>
            <w:shd w:val="clear" w:color="auto" w:fill="F7F9FC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 w:val="0"/>
                <w:i/>
                <w:color w:val="8493A8"/>
                <w:sz w:val="17"/>
                <w:u w:val="none"/>
              </w:rPr>
              <w:t>{{amount}}</w:t>
            </w:r>
          </w:p>
        </w:tc>
      </w:tr>
      <w:tr>
        <w:trPr>
          <w:cantSplit/>
          <w:trHeight w:val="397" w:hRule="atLeast"/>
        </w:trPr>
        <w:tc>
          <w:tcPr>
            <w:tcW w:type="dxa" w:w="102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</w:p>
        </w:tc>
        <w:tc>
          <w:tcPr>
            <w:tcW w:type="dxa" w:w="4762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Outcome</w:t>
            </w:r>
          </w:p>
        </w:tc>
        <w:tc>
          <w:tcPr>
            <w:tcW w:type="dxa" w:w="2381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NSR minimum 1.00</w:t>
            </w:r>
          </w:p>
        </w:tc>
        <w:tc>
          <w:tcPr>
            <w:tcW w:type="dxa" w:w="1928"/>
            <w:tcBorders>
              <w:top w:val="nil"/>
              <w:left w:val="single" w:sz="4" w:space="0" w:color="DCE3ED"/>
              <w:bottom w:val="single" w:sz="8" w:space="0" w:color="1D6FE0"/>
              <w:right w:val="nil"/>
            </w:tcBorders>
            <w:shd w:val="clear" w:color="auto" w:fill="DCE8FB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onsolas" w:hAnsi="Consolas" w:cs="Consolas" w:eastAsia="Consolas"/>
                <w:b/>
                <w:i w:val="0"/>
                <w:color w:val="0C2340"/>
                <w:sz w:val="17"/>
                <w:u w:val="none"/>
              </w:rPr>
              <w:t>PASS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Every figure above is traceable to a numbered line in sections two to four. A reviewer should be able to re-perform this calculation without reference to the lender's calculator.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06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Policy notes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How each item was treated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Policy treatment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Policy treatment"/>
        <w:tblDescription w:val="Columns: Ref, Policy item, Treatment applied, Status"/>
      </w:tblPr>
      <w:tblGrid>
        <w:gridCol w:w="1020"/>
        <w:gridCol w:w="2948"/>
        <w:gridCol w:w="4649"/>
        <w:gridCol w:w="1474"/>
      </w:tblGrid>
      <w:tr>
        <w:trPr>
          <w:cantSplit/>
          <w:tblHeader/>
        </w:trPr>
        <w:tc>
          <w:tcPr>
            <w:tcW w:type="dxa" w:w="1020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Ref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Policy item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Treatment applied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1020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{{ref}}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{{item}}</w:t>
            </w:r>
          </w:p>
        </w:tc>
        <w:tc>
          <w:tcPr>
            <w:tcW w:type="dxa" w:w="464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{{treatment}}</w:t>
            </w:r>
          </w:p>
        </w:tc>
        <w:tc>
          <w:tcPr>
            <w:tcW w:type="dxa" w:w="147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6.04 is flagged for review: reducing the combined $28,000 of card limits to $10,000 would add approximately $684 a month of surplus and $96,000 of capacity.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pBdr>
          <w:bottom w:val="single" w:sz="10" w:space="4" w:color="1D6FE0"/>
        </w:pBdr>
        <w:spacing w:before="0" w:after="0"/>
      </w:pPr>
      <w:r>
        <w:rPr>
          <w:rFonts w:ascii="Calibri" w:hAnsi="Calibri" w:cs="Calibri" w:eastAsia="Calibri"/>
          <w:b/>
          <w:i w:val="0"/>
          <w:color w:val="1D6FE0"/>
          <w:sz w:val="25"/>
          <w:u w:val="none"/>
        </w:rPr>
        <w:t xml:space="preserve">07  </w:t>
      </w:r>
      <w:r>
        <w:rPr>
          <w:rFonts w:ascii="Calibri" w:hAnsi="Calibri" w:cs="Calibri" w:eastAsia="Calibri"/>
          <w:b/>
          <w:i w:val="0"/>
          <w:caps w:val="1"/>
          <w:color w:val="0C2340"/>
          <w:spacing w:val="14"/>
          <w:sz w:val="25"/>
          <w:u w:val="none"/>
        </w:rPr>
        <w:t>Reviewer sign-off</w:t>
      </w:r>
    </w:p>
    <w:p>
      <w:pPr>
        <w:keepNext/>
        <w:keepLines/>
        <w:pageBreakBefore w:val="0"/>
        <w:widowControl w:val="1"/>
        <w:spacing w:before="100" w:after="0"/>
      </w:pPr>
      <w:r>
        <w:rPr>
          <w:rFonts w:ascii="Calibri" w:hAnsi="Calibri" w:cs="Calibri" w:eastAsia="Calibri"/>
          <w:b w:val="0"/>
          <w:i w:val="0"/>
          <w:color w:val="4C5B73"/>
          <w:sz w:val="15"/>
          <w:u w:val="none"/>
        </w:rPr>
        <w:t>Prepared and checked</w:t>
      </w:r>
    </w:p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4"/>
          <w:sz w:val="15"/>
          <w:u w:val="none"/>
        </w:rPr>
        <w:t>Approvals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Approvals"/>
        <w:tblDescription w:val="Columns: Role, Name, Date, Status"/>
      </w:tblPr>
      <w:tblGrid>
        <w:gridCol w:w="2865"/>
        <w:gridCol w:w="3239"/>
        <w:gridCol w:w="1869"/>
        <w:gridCol w:w="2118"/>
      </w:tblGrid>
      <w:tr>
        <w:trPr>
          <w:cantSplit/>
          <w:tblHeader/>
        </w:trPr>
        <w:tc>
          <w:tcPr>
            <w:tcW w:type="dxa" w:w="2865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Role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Name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Date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8" w:space="0" w:color="1D6FE0"/>
              <w:right w:val="nil"/>
            </w:tcBorders>
            <w:shd w:val="clear" w:color="auto" w:fill="0C2340"/>
            <w:tcMar>
              <w:top w:w="88" w:type="dxa"/>
              <w:left w:w="123" w:type="dxa"/>
              <w:bottom w:w="88" w:type="dxa"/>
              <w:right w:w="12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Status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  <w:tr>
        <w:trPr>
          <w:cantSplit/>
        </w:trPr>
        <w:tc>
          <w:tcPr>
            <w:tcW w:type="dxa" w:w="286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{{role}}</w:t>
            </w:r>
          </w:p>
        </w:tc>
        <w:tc>
          <w:tcPr>
            <w:tcW w:type="dxa" w:w="323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{{name}}</w:t>
            </w:r>
          </w:p>
        </w:tc>
        <w:tc>
          <w:tcPr>
            <w:tcW w:type="dxa" w:w="186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{{approval.date}}</w:t>
            </w:r>
          </w:p>
        </w:tc>
        <w:tc>
          <w:tcPr>
            <w:tcW w:type="dxa" w:w="211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88" w:type="dxa"/>
              <w:left w:w="123" w:type="dxa"/>
              <w:bottom w:w="88" w:type="dxa"/>
              <w:right w:w="12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◔  Pending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DCE3ED"/>
              <w:left w:val="single" w:sz="18" w:space="0" w:color="4C5B73"/>
              <w:bottom w:val="single" w:sz="6" w:space="0" w:color="DCE3ED"/>
              <w:right w:val="single" w:sz="6" w:space="0" w:color="DCE3ED"/>
            </w:tcBorders>
            <w:shd w:val="clear" w:color="auto" w:fill="FFFFFF"/>
            <w:tcMar>
              <w:top w:w="158" w:type="dxa"/>
              <w:left w:w="184" w:type="dxa"/>
              <w:bottom w:w="158" w:type="dxa"/>
              <w:right w:w="184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5"/>
                <w:u w:val="none"/>
              </w:rPr>
              <w:t>Circulation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0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This is an internal working paper prepared to support a credit submission. It is not a client-facing document, is not credit assistance, and must not be provided to the applicants or to any third party without compliance approval.</w:t>
            </w:r>
          </w:p>
        </w:tc>
      </w:tr>
    </w:tbl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D6FE0"/>
              <w:spacing w:val="24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D6FE0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4"/>
              <w:sz w:val="14"/>
              <w:u w:val="none"/>
            </w:rPr>
            <w:t>Serviceability Assessment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0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Serviceability Assessment</dc:title>
  <dc:subject>Internal working document showing the serviceability calculation for one lender, line by line, so a credit decision can be checked.</dc:subject>
  <dc:creator>Aurixa Systems</dc:creator>
  <cp:keywords>Serviceability, Servicing calculation, Credit working, Finance &amp; Lending,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