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C2CDDC"/>
              <w:left w:val="single" w:sz="6" w:space="0" w:color="C2CDDC"/>
              <w:bottom w:val="single" w:sz="6" w:space="0" w:color="C2CDDC"/>
              <w:right w:val="single" w:sz="6" w:space="0" w:color="C2CDDC"/>
            </w:tcBorders>
            <w:shd w:val="clear" w:color="auto" w:fill="EDF1F7"/>
            <w:tcMar>
              <w:top w:w="1150" w:type="dxa"/>
              <w:left w:w="200" w:type="dxa"/>
              <w:bottom w:w="1150" w:type="dxa"/>
              <w:right w:w="20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8493A8"/>
                <w:spacing w:val="32"/>
                <w:sz w:val="15"/>
                <w:u w:val="none"/>
              </w:rPr>
              <w:t>[  COVER IMAGE  —  1600 × 900 px minimum  ]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8493A8"/>
                <w:sz w:val="14"/>
                <w:u w:val="none"/>
              </w:rPr>
              <w:t>{{suburb.coverCaption}}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  <w:trHeight w:val="6690" w:hRule="atLeast"/>
        </w:trPr>
        <w:tc>
          <w:tcPr>
            <w:tcW w:type="dxa" w:w="10091"/>
            <w:tcBorders>
              <w:top w:val="single" w:sz="10" w:space="0" w:color="12B0CE"/>
              <w:left w:val="nil"/>
              <w:bottom w:val="nil"/>
              <w:right w:val="nil"/>
            </w:tcBorders>
            <w:shd w:val="clear" w:color="auto" w:fill="0C2340"/>
            <w:tcMar>
              <w:top w:w="380" w:type="dxa"/>
              <w:left w:w="320" w:type="dxa"/>
              <w:bottom w:w="380" w:type="dxa"/>
              <w:right w:w="320" w:type="dxa"/>
            </w:tcMar>
            <w:vAlign w:val="center"/>
          </w:tcPr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3515"/>
            </w:tblGrid>
            <w:tr>
              <w:trPr>
                <w:cantSplit/>
              </w:trPr>
              <w:tc>
                <w:tcPr>
                  <w:tcW w:type="dxa" w:w="3515"/>
                  <w:tcBorders>
                    <w:top w:val="dashed" w:sz="8" w:space="0" w:color="12B0CE"/>
                    <w:left w:val="dashed" w:sz="8" w:space="0" w:color="12B0CE"/>
                    <w:bottom w:val="dashed" w:sz="8" w:space="0" w:color="12B0CE"/>
                    <w:right w:val="dashed" w:sz="8" w:space="0" w:color="12B0CE"/>
                  </w:tcBorders>
                  <w:tcMar>
                    <w:top w:w="190" w:type="dxa"/>
                    <w:left w:w="130" w:type="dxa"/>
                    <w:bottom w:w="190" w:type="dxa"/>
                    <w:right w:w="13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2B0CE"/>
                      <w:spacing w:val="36"/>
                      <w:sz w:val="14"/>
                      <w:u w:val="none"/>
                    </w:rPr>
                    <w:t>[  AURIXA SYSTEMS  ]</w:t>
                  </w:r>
                </w:p>
              </w:tc>
            </w:tr>
          </w:tbl>
          <w:p/>
          <w:p>
            <w:pPr>
              <w:keepNext w:val="0"/>
              <w:keepLines/>
              <w:pageBreakBefore w:val="0"/>
              <w:widowControl w:val="1"/>
              <w:spacing w:before="0" w:after="0" w:line="200" w:lineRule="exact"/>
            </w:pPr>
            <w:r>
              <w:rPr>
                <w:sz w:val="2"/>
              </w:rPr>
            </w:r>
          </w:p>
          <w:p>
            <w:pPr>
              <w:keepNext w:val="0"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60"/>
                <w:sz w:val="16"/>
                <w:u w:val="none"/>
              </w:rPr>
              <w:t>Location research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1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48"/>
                <w:sz w:val="19"/>
                <w:u w:val="none"/>
              </w:rPr>
              <w:t>Aurixa Systems</w:t>
            </w:r>
          </w:p>
          <w:p>
            <w:pPr>
              <w:keepNext/>
              <w:keepLines/>
              <w:pageBreakBefore w:val="0"/>
              <w:widowControl w:val="1"/>
              <w:spacing w:before="0" w:after="160" w:line="230" w:lineRule="auto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pacing w:val="-4"/>
                <w:sz w:val="60"/>
                <w:u w:val="none"/>
              </w:rPr>
              <w:t>{{suburb.name}}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22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AFC0D6"/>
                <w:sz w:val="22"/>
                <w:u w:val="none"/>
              </w:rPr>
              <w:t>{{report.subtitle}}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80" w:lineRule="exact"/>
            </w:pPr>
            <w:r>
              <w:rPr>
                <w:sz w:val="2"/>
              </w:rPr>
            </w:r>
          </w:p>
          <w:tbl>
            <w:tblPr>
              <w:tblW w:type="auto" w:w="0"/>
              <w:jc w:val="center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4309"/>
              <w:gridCol w:w="4309"/>
            </w:tblGrid>
            <w:tr>
              <w:trPr>
                <w:cantSplit/>
              </w:trPr>
              <w:tc>
                <w:tcPr>
                  <w:tcW w:type="dxa" w:w="4309"/>
                  <w:tcBorders>
                    <w:top w:val="single" w:sz="4" w:space="0" w:color="12B0CE"/>
                    <w:left w:val="single" w:sz="4" w:space="0" w:color="12B0CE"/>
                    <w:bottom w:val="single" w:sz="4" w:space="0" w:color="12B0CE"/>
                    <w:right w:val="single" w:sz="4" w:space="0" w:color="12B0CE"/>
                  </w:tcBorders>
                  <w:shd w:val="clear" w:color="auto" w:fill="16375C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2B0CE"/>
                      <w:spacing w:val="28"/>
                      <w:sz w:val="14"/>
                      <w:u w:val="none"/>
                    </w:rPr>
                    <w:t>10-YEAR DATA</w:t>
                  </w:r>
                </w:p>
              </w:tc>
              <w:tc>
                <w:tcPr>
                  <w:tcW w:type="dxa" w:w="4309"/>
                  <w:tcBorders>
                    <w:top w:val="single" w:sz="4" w:space="0" w:color="12B0CE"/>
                    <w:left w:val="single" w:sz="4" w:space="0" w:color="12B0CE"/>
                    <w:bottom w:val="single" w:sz="4" w:space="0" w:color="12B0CE"/>
                    <w:right w:val="single" w:sz="4" w:space="0" w:color="12B0CE"/>
                  </w:tcBorders>
                  <w:shd w:val="clear" w:color="auto" w:fill="16375C"/>
                  <w:tcMar>
                    <w:top w:w="90" w:type="dxa"/>
                    <w:left w:w="70" w:type="dxa"/>
                    <w:bottom w:w="90" w:type="dxa"/>
                    <w:right w:w="7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/>
                    <w:jc w:val="center"/>
                  </w:pPr>
                  <w:r>
                    <w:rPr>
                      <w:rFonts w:ascii="Calibri" w:hAnsi="Calibri" w:cs="Calibri" w:eastAsia="Calibri"/>
                      <w:b/>
                      <w:i w:val="0"/>
                      <w:caps w:val="1"/>
                      <w:color w:val="12B0CE"/>
                      <w:spacing w:val="28"/>
                      <w:sz w:val="14"/>
                      <w:u w:val="none"/>
                    </w:rPr>
                    <w:t>AS AT 30/06/26</w:t>
                  </w:r>
                </w:p>
              </w:tc>
            </w:tr>
          </w:tbl>
          <w:p/>
        </w:tc>
      </w:tr>
    </w:tbl>
    <w:p>
      <w:pPr>
        <w:keepNext w:val="0"/>
        <w:keepLines/>
        <w:pageBreakBefore w:val="0"/>
        <w:widowControl w:val="1"/>
        <w:spacing w:before="0" w:after="0" w:line="1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18"/>
        <w:gridCol w:w="3027"/>
        <w:gridCol w:w="2018"/>
        <w:gridCol w:w="3027"/>
      </w:tblGrid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Prepared for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{{client.name}}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Client reference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{{client.reference}}</w:t>
            </w:r>
          </w:p>
        </w:tc>
      </w:tr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Prepared by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{{author.name}}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Date of issue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{{document.issueDate}}</w:t>
            </w:r>
          </w:p>
        </w:tc>
      </w:tr>
      <w:tr>
        <w:trPr>
          <w:cantSplit/>
          <w:trHeight w:val="431" w:hRule="atLeast"/>
        </w:trPr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Document reference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{{document.reference}}</w:t>
            </w:r>
          </w:p>
        </w:tc>
        <w:tc>
          <w:tcPr>
            <w:tcW w:type="dxa" w:w="2018"/>
            <w:tcBorders>
              <w:top w:val="single" w:sz="4" w:space="0" w:color="FFFFFF"/>
              <w:left w:val="nil"/>
              <w:bottom w:val="single" w:sz="4" w:space="0" w:color="FFFFFF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Version</w:t>
            </w:r>
          </w:p>
        </w:tc>
        <w:tc>
          <w:tcPr>
            <w:tcW w:type="dxa" w:w="3027"/>
            <w:tcBorders>
              <w:top w:val="single" w:sz="4" w:space="0" w:color="FFFFFF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{{document.version}}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2B0CE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27"/>
                <w:u w:val="none"/>
              </w:rPr>
              <w:t>01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36"/>
                <w:sz w:val="25"/>
                <w:u w:val="none"/>
              </w:rPr>
              <w:t>Snapshot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2B0CE"/>
                <w:spacing w:val="22"/>
                <w:sz w:val="14"/>
                <w:u w:val="none"/>
              </w:rPr>
              <w:t>Where the market sits today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523"/>
        <w:gridCol w:w="2523"/>
        <w:gridCol w:w="2523"/>
        <w:gridCol w:w="2523"/>
      </w:tblGrid>
      <w:tr>
        <w:trPr>
          <w:cantSplit/>
        </w:trPr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8"/>
                <w:sz w:val="14"/>
                <w:u w:val="none"/>
              </w:rPr>
              <w:t>MEDIAN — HOUSE</w:t>
            </w:r>
          </w:p>
        </w:tc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8"/>
                <w:sz w:val="14"/>
                <w:u w:val="none"/>
              </w:rPr>
              <w:t>12-MONTH GROWTH</w:t>
            </w:r>
          </w:p>
        </w:tc>
        <w:tc>
          <w:tcPr>
            <w:tcW w:type="dxa" w:w="2523"/>
            <w:tcBorders>
              <w:right w:val="single" w:sz="24" w:space="0" w:color="FFFFFF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8"/>
                <w:sz w:val="14"/>
                <w:u w:val="none"/>
              </w:rPr>
              <w:t>GROSS YIELD</w:t>
            </w:r>
          </w:p>
        </w:tc>
        <w:tc>
          <w:tcPr>
            <w:tcW w:type="dxa" w:w="2523"/>
            <w:tcBorders>
              <w:right w:val="nil"/>
            </w:tcBorders>
            <w:shd w:val="clear" w:color="auto" w:fill="0C2340"/>
            <w:tcMar>
              <w:top w:w="80" w:type="dxa"/>
              <w:left w:w="120" w:type="dxa"/>
              <w:bottom w:w="60" w:type="dxa"/>
              <w:right w:w="120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8"/>
                <w:sz w:val="14"/>
                <w:u w:val="none"/>
              </w:rPr>
              <w:t>VACANCY</w:t>
            </w:r>
          </w:p>
        </w:tc>
      </w:tr>
      <w:tr>
        <w:trPr>
          <w:cantSplit/>
        </w:trPr>
        <w:tc>
          <w:tcPr>
            <w:tcW w:type="dxa" w:w="2523"/>
            <w:tcBorders>
              <w:bottom w:val="single" w:sz="8" w:space="0" w:color="12B0CE"/>
              <w:right w:val="single" w:sz="24" w:space="0" w:color="FFFFFF"/>
            </w:tcBorders>
            <w:shd w:val="clear" w:color="auto" w:fill="EEFAFC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32"/>
                <w:u w:val="none"/>
              </w:rPr>
              <w:t>{{suburb.medianHouse}}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12 months to Jun 26</w:t>
            </w:r>
          </w:p>
        </w:tc>
        <w:tc>
          <w:tcPr>
            <w:tcW w:type="dxa" w:w="2523"/>
            <w:tcBorders>
              <w:bottom w:val="single" w:sz="8" w:space="0" w:color="12B0CE"/>
              <w:right w:val="single" w:sz="24" w:space="0" w:color="FFFFFF"/>
            </w:tcBorders>
            <w:shd w:val="clear" w:color="auto" w:fill="EEFAFC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32"/>
                <w:u w:val="none"/>
              </w:rPr>
              <w:t>{{suburb.growth12}}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Houses</w:t>
            </w:r>
          </w:p>
        </w:tc>
        <w:tc>
          <w:tcPr>
            <w:tcW w:type="dxa" w:w="2523"/>
            <w:tcBorders>
              <w:bottom w:val="single" w:sz="8" w:space="0" w:color="12B0CE"/>
              <w:right w:val="single" w:sz="24" w:space="0" w:color="FFFFFF"/>
            </w:tcBorders>
            <w:shd w:val="clear" w:color="auto" w:fill="EEFAFC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32"/>
                <w:u w:val="none"/>
              </w:rPr>
              <w:t>{{suburb.yield}}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Houses</w:t>
            </w:r>
          </w:p>
        </w:tc>
        <w:tc>
          <w:tcPr>
            <w:tcW w:type="dxa" w:w="2523"/>
            <w:tcBorders>
              <w:bottom w:val="single" w:sz="8" w:space="0" w:color="12B0CE"/>
              <w:right w:val="nil"/>
            </w:tcBorders>
            <w:shd w:val="clear" w:color="auto" w:fill="EEFAFC"/>
            <w:tcMar>
              <w:top w:w="110" w:type="dxa"/>
              <w:left w:w="120" w:type="dxa"/>
              <w:bottom w:w="110" w:type="dxa"/>
              <w:right w:w="12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 w:line="252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32"/>
                <w:u w:val="none"/>
              </w:rPr>
              <w:t>{{suburb.vacancy}}</w:t>
            </w:r>
          </w:p>
          <w:p>
            <w:pPr>
              <w:keepNext w:val="0"/>
              <w:keepLines/>
              <w:pageBreakBefore w:val="0"/>
              <w:widowControl w:val="1"/>
              <w:spacing w:before="40" w:after="0" w:line="28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Below the 2.5% balance point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2B0CE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27"/>
                <w:u w:val="none"/>
              </w:rPr>
              <w:t>02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36"/>
                <w:sz w:val="25"/>
                <w:u w:val="none"/>
              </w:rPr>
              <w:t>Executive summary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2B0CE"/>
                <w:spacing w:val="22"/>
                <w:sz w:val="14"/>
                <w:u w:val="none"/>
              </w:rPr>
              <w:t>The location thesis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4" w:space="0" w:color="DCE3ED"/>
              <w:left w:val="single" w:sz="18" w:space="0" w:color="12B0CE"/>
              <w:bottom w:val="single" w:sz="4" w:space="0" w:color="DCE3ED"/>
              <w:right w:val="single" w:sz="4" w:space="0" w:color="DCE3ED"/>
            </w:tcBorders>
            <w:shd w:val="clear" w:color="auto" w:fill="F7F9FC"/>
            <w:tcMar>
              <w:top w:w="171" w:type="dxa"/>
              <w:left w:w="199" w:type="dxa"/>
              <w:bottom w:w="171" w:type="dxa"/>
              <w:right w:w="199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8"/>
                <w:sz w:val="15"/>
                <w:u w:val="none"/>
              </w:rPr>
              <w:t>Executive summary</w:t>
            </w:r>
          </w:p>
          <w:p>
            <w:pPr>
              <w:keepNext/>
              <w:keepLines/>
              <w:pageBreakBefore w:val="0"/>
              <w:widowControl w:val="1"/>
              <w:spacing w:before="0" w:after="120" w:line="293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23"/>
                <w:u w:val="none"/>
              </w:rPr>
              <w:t>{{report.headline}}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17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{{report.summary}}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60" w:lineRule="exact"/>
            </w:pPr>
            <w:r>
              <w:rPr>
                <w:sz w:val="2"/>
              </w:rPr>
            </w:r>
          </w:p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8"/>
                <w:sz w:val="15"/>
                <w:u w:val="none"/>
              </w:rPr>
              <w:t>What this means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17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2B0CE"/>
                <w:sz w:val="19"/>
                <w:u w:val="none"/>
              </w:rPr>
              <w:t xml:space="preserve">›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{{report.takeaways[0]}}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 w:line="317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2B0CE"/>
                <w:sz w:val="19"/>
                <w:u w:val="none"/>
              </w:rPr>
              <w:t xml:space="preserve">›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{{report.takeaways[1]}}</w:t>
            </w:r>
          </w:p>
          <w:p>
            <w:pPr>
              <w:keepNext w:val="0"/>
              <w:keepLines/>
              <w:pageBreakBefore w:val="0"/>
              <w:widowControl w:val="1"/>
              <w:spacing w:before="80" w:after="0" w:line="317" w:lineRule="auto"/>
              <w:ind w:left="200" w:hanging="200"/>
            </w:pPr>
            <w:r>
              <w:rPr>
                <w:rFonts w:ascii="Calibri" w:hAnsi="Calibri" w:cs="Calibri" w:eastAsia="Calibri"/>
                <w:b/>
                <w:i w:val="0"/>
                <w:color w:val="12B0CE"/>
                <w:sz w:val="19"/>
                <w:u w:val="none"/>
              </w:rPr>
              <w:t xml:space="preserve">›  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>{{report.takeaways[2]}}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2B0CE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27"/>
                <w:u w:val="none"/>
              </w:rPr>
              <w:t>03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36"/>
                <w:sz w:val="25"/>
                <w:u w:val="none"/>
              </w:rPr>
              <w:t>Market performance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2B0CE"/>
                <w:spacing w:val="22"/>
                <w:sz w:val="14"/>
                <w:u w:val="none"/>
              </w:rPr>
              <w:t>Ten years of price and rent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  <w:trHeight w:val="3175" w:hRule="atLeast"/>
        </w:trPr>
        <w:tc>
          <w:tcPr>
            <w:tcW w:type="dxa" w:w="10091"/>
            <w:tcBorders>
              <w:top w:val="single" w:sz="4" w:space="0" w:color="C2CDDC"/>
              <w:left w:val="single" w:sz="4" w:space="0" w:color="C2CDDC"/>
              <w:bottom w:val="single" w:sz="4" w:space="0" w:color="C2CDDC"/>
              <w:right w:val="single" w:sz="4" w:space="0" w:color="C2CDDC"/>
            </w:tcBorders>
            <w:shd w:val="clear" w:color="auto" w:fill="F7F9FC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6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8"/>
                <w:u w:val="none"/>
              </w:rPr>
              <w:t>Median price and median rent, 10 years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6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36"/>
                <w:sz w:val="15"/>
                <w:u w:val="none"/>
              </w:rPr>
              <w:t>[  DUAL-AXIS LINE CHART  ]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8493A8"/>
                <w:sz w:val="14"/>
                <w:u w:val="none"/>
              </w:rPr>
              <w:t>{{suburb.priceHistory}}</w:t>
            </w:r>
          </w:p>
        </w:tc>
      </w:tr>
    </w:tbl>
    <w:p>
      <w:pPr>
        <w:keepNext w:val="0"/>
        <w:keepLines/>
        <w:pageBreakBefore w:val="0"/>
        <w:widowControl w:val="1"/>
        <w:spacing w:before="80" w:after="0" w:line="298" w:lineRule="auto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Houses only; medians are 12-month rolling   ·   Source: {{suburb.source}}   ·   Alt text: Median price rose from $1.02m to $1.84m over ten years while median rent rose from $760 to $1,020 per week</w:t>
      </w:r>
    </w:p>
    <w:p>
      <w:pPr>
        <w:keepNext w:val="0"/>
        <w:keepLines/>
        <w:pageBreakBefore w:val="0"/>
        <w:widowControl w:val="1"/>
        <w:spacing w:before="0" w:after="0" w:line="126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8"/>
          <w:sz w:val="15"/>
          <w:u w:val="none"/>
        </w:rPr>
        <w:t>Five-year detail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Five-year detail"/>
        <w:tblDescription w:val="Columns: Period, Median price, Change, Median rent, Yield, Sales"/>
      </w:tblPr>
      <w:tblGrid>
        <w:gridCol w:w="1802"/>
        <w:gridCol w:w="2162"/>
        <w:gridCol w:w="1562"/>
        <w:gridCol w:w="1802"/>
        <w:gridCol w:w="1442"/>
        <w:gridCol w:w="1321"/>
      </w:tblGrid>
      <w:tr>
        <w:trPr>
          <w:cantSplit/>
          <w:trHeight w:val="420" w:hRule="atLeast"/>
          <w:tblHeader/>
        </w:trPr>
        <w:tc>
          <w:tcPr>
            <w:tcW w:type="dxa" w:w="1802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Period</w:t>
            </w:r>
          </w:p>
        </w:tc>
        <w:tc>
          <w:tcPr>
            <w:tcW w:type="dxa" w:w="2162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Median price</w:t>
            </w:r>
          </w:p>
        </w:tc>
        <w:tc>
          <w:tcPr>
            <w:tcW w:type="dxa" w:w="1562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Change</w:t>
            </w:r>
          </w:p>
        </w:tc>
        <w:tc>
          <w:tcPr>
            <w:tcW w:type="dxa" w:w="1802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Median rent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Yield</w:t>
            </w:r>
          </w:p>
        </w:tc>
        <w:tc>
          <w:tcPr>
            <w:tcW w:type="dxa" w:w="1321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Sales</w:t>
            </w:r>
          </w:p>
        </w:tc>
      </w:tr>
      <w:tr>
        <w:trPr>
          <w:cantSplit/>
          <w:trHeight w:val="397" w:hRule="atLeast"/>
        </w:trPr>
        <w:tc>
          <w:tcPr>
            <w:tcW w:type="dxa" w:w="180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{{period}}</w:t>
            </w:r>
          </w:p>
        </w:tc>
        <w:tc>
          <w:tcPr>
            <w:tcW w:type="dxa" w:w="216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{{median}}</w:t>
            </w:r>
          </w:p>
        </w:tc>
        <w:tc>
          <w:tcPr>
            <w:tcW w:type="dxa" w:w="156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{{change}}</w:t>
            </w:r>
          </w:p>
        </w:tc>
        <w:tc>
          <w:tcPr>
            <w:tcW w:type="dxa" w:w="180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{{rent}}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{{yield}}</w:t>
            </w:r>
          </w:p>
        </w:tc>
        <w:tc>
          <w:tcPr>
            <w:tcW w:type="dxa" w:w="132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{{sales}}</w:t>
            </w:r>
          </w:p>
        </w:tc>
      </w:tr>
      <w:tr>
        <w:trPr>
          <w:cantSplit/>
          <w:trHeight w:val="397" w:hRule="atLeast"/>
        </w:trPr>
        <w:tc>
          <w:tcPr>
            <w:tcW w:type="dxa" w:w="180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{{period}}</w:t>
            </w:r>
          </w:p>
        </w:tc>
        <w:tc>
          <w:tcPr>
            <w:tcW w:type="dxa" w:w="216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{{median}}</w:t>
            </w:r>
          </w:p>
        </w:tc>
        <w:tc>
          <w:tcPr>
            <w:tcW w:type="dxa" w:w="156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{{change}}</w:t>
            </w:r>
          </w:p>
        </w:tc>
        <w:tc>
          <w:tcPr>
            <w:tcW w:type="dxa" w:w="180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{{rent}}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{{yield}}</w:t>
            </w:r>
          </w:p>
        </w:tc>
        <w:tc>
          <w:tcPr>
            <w:tcW w:type="dxa" w:w="132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{{sales}}</w:t>
            </w:r>
          </w:p>
        </w:tc>
      </w:tr>
      <w:tr>
        <w:trPr>
          <w:cantSplit/>
          <w:trHeight w:val="397" w:hRule="atLeast"/>
        </w:trPr>
        <w:tc>
          <w:tcPr>
            <w:tcW w:type="dxa" w:w="180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{{period}}</w:t>
            </w:r>
          </w:p>
        </w:tc>
        <w:tc>
          <w:tcPr>
            <w:tcW w:type="dxa" w:w="216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{{median}}</w:t>
            </w:r>
          </w:p>
        </w:tc>
        <w:tc>
          <w:tcPr>
            <w:tcW w:type="dxa" w:w="156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{{change}}</w:t>
            </w:r>
          </w:p>
        </w:tc>
        <w:tc>
          <w:tcPr>
            <w:tcW w:type="dxa" w:w="180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{{rent}}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{{yield}}</w:t>
            </w:r>
          </w:p>
        </w:tc>
        <w:tc>
          <w:tcPr>
            <w:tcW w:type="dxa" w:w="132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{{sales}}</w:t>
            </w:r>
          </w:p>
        </w:tc>
      </w:tr>
      <w:tr>
        <w:trPr>
          <w:cantSplit/>
          <w:trHeight w:val="397" w:hRule="atLeast"/>
        </w:trPr>
        <w:tc>
          <w:tcPr>
            <w:tcW w:type="dxa" w:w="180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{{period}}</w:t>
            </w:r>
          </w:p>
        </w:tc>
        <w:tc>
          <w:tcPr>
            <w:tcW w:type="dxa" w:w="216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{{median}}</w:t>
            </w:r>
          </w:p>
        </w:tc>
        <w:tc>
          <w:tcPr>
            <w:tcW w:type="dxa" w:w="156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{{change}}</w:t>
            </w:r>
          </w:p>
        </w:tc>
        <w:tc>
          <w:tcPr>
            <w:tcW w:type="dxa" w:w="180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{{rent}}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{{yield}}</w:t>
            </w:r>
          </w:p>
        </w:tc>
        <w:tc>
          <w:tcPr>
            <w:tcW w:type="dxa" w:w="132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{{sales}}</w:t>
            </w:r>
          </w:p>
        </w:tc>
      </w:tr>
      <w:tr>
        <w:trPr>
          <w:cantSplit/>
          <w:trHeight w:val="397" w:hRule="atLeast"/>
        </w:trPr>
        <w:tc>
          <w:tcPr>
            <w:tcW w:type="dxa" w:w="180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{{period}}</w:t>
            </w:r>
          </w:p>
        </w:tc>
        <w:tc>
          <w:tcPr>
            <w:tcW w:type="dxa" w:w="216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{{median}}</w:t>
            </w:r>
          </w:p>
        </w:tc>
        <w:tc>
          <w:tcPr>
            <w:tcW w:type="dxa" w:w="156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{{change}}</w:t>
            </w:r>
          </w:p>
        </w:tc>
        <w:tc>
          <w:tcPr>
            <w:tcW w:type="dxa" w:w="180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{{rent}}</w:t>
            </w:r>
          </w:p>
        </w:tc>
        <w:tc>
          <w:tcPr>
            <w:tcW w:type="dxa" w:w="14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{{yield}}</w:t>
            </w:r>
          </w:p>
        </w:tc>
        <w:tc>
          <w:tcPr>
            <w:tcW w:type="dxa" w:w="132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{{sales}}</w:t>
            </w:r>
          </w:p>
        </w:tc>
      </w:tr>
    </w:tbl>
    <w:p>
      <w:pPr>
        <w:keepNext w:val="0"/>
        <w:keepLines/>
        <w:pageBreakBefore w:val="0"/>
        <w:widowControl w:val="1"/>
        <w:spacing w:before="80" w:after="0" w:line="298" w:lineRule="auto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Medians on fewer than 40 sales a year move on composition as much as on value; read the trend, not any single year.</w:t>
      </w:r>
    </w:p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2B0CE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27"/>
                <w:u w:val="none"/>
              </w:rPr>
              <w:t>04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36"/>
                <w:sz w:val="25"/>
                <w:u w:val="none"/>
              </w:rPr>
              <w:t>Supply &amp; demand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2B0CE"/>
                <w:spacing w:val="22"/>
                <w:sz w:val="14"/>
                <w:u w:val="none"/>
              </w:rPr>
              <w:t>What is available and who wants it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  <w:trHeight w:val="2948" w:hRule="atLeast"/>
        </w:trPr>
        <w:tc>
          <w:tcPr>
            <w:tcW w:type="dxa" w:w="10091"/>
            <w:tcBorders>
              <w:top w:val="single" w:sz="4" w:space="0" w:color="C2CDDC"/>
              <w:left w:val="single" w:sz="4" w:space="0" w:color="C2CDDC"/>
              <w:bottom w:val="single" w:sz="4" w:space="0" w:color="C2CDDC"/>
              <w:right w:val="single" w:sz="4" w:space="0" w:color="C2CDDC"/>
            </w:tcBorders>
            <w:shd w:val="clear" w:color="auto" w:fill="F7F9FC"/>
            <w:tcMar>
              <w:top w:w="150" w:type="dxa"/>
              <w:left w:w="180" w:type="dxa"/>
              <w:bottom w:w="150" w:type="dxa"/>
              <w:right w:w="180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6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8"/>
                <w:u w:val="none"/>
              </w:rPr>
              <w:t>Listings, days on market and absorption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6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36"/>
                <w:sz w:val="15"/>
                <w:u w:val="none"/>
              </w:rPr>
              <w:t>[  COMBINATION CHART  ]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8493A8"/>
                <w:sz w:val="14"/>
                <w:u w:val="none"/>
              </w:rPr>
              <w:t>{{suburb.supplyDemand}}</w:t>
            </w:r>
          </w:p>
        </w:tc>
      </w:tr>
    </w:tbl>
    <w:p>
      <w:pPr>
        <w:keepNext w:val="0"/>
        <w:keepLines/>
        <w:pageBreakBefore w:val="0"/>
        <w:widowControl w:val="1"/>
        <w:spacing w:before="80" w:after="0" w:line="298" w:lineRule="auto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Rolling three-month   ·   Source: Listing data   ·   Alt text: Listing volumes fell 31% over three years while days on market fell from 42 to 26</w:t>
      </w:r>
    </w:p>
    <w:p>
      <w:pPr>
        <w:keepNext w:val="0"/>
        <w:keepLines/>
        <w:pageBreakBefore w:val="0"/>
        <w:widowControl w:val="1"/>
        <w:spacing w:before="0" w:after="0" w:line="108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8"/>
          <w:sz w:val="15"/>
          <w:u w:val="none"/>
        </w:rPr>
        <w:t>Days on market by year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826"/>
        <w:gridCol w:w="5651"/>
        <w:gridCol w:w="1615"/>
      </w:tblGrid>
      <w:tr>
        <w:trPr>
          <w:cantSplit/>
          <w:trHeight w:val="420" w:hRule="atLeast"/>
        </w:trPr>
        <w:tc>
          <w:tcPr>
            <w:tcW w:type="dxa" w:w="2826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{{period}}</w:t>
            </w:r>
          </w:p>
        </w:tc>
        <w:tc>
          <w:tcPr>
            <w:tcW w:type="dxa" w:w="565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tbl>
            <w:tblPr>
              <w:tblW w:type="auto" w:w="0"/>
              <w:jc w:val="left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5651"/>
              <w:gridCol w:w="34"/>
            </w:tblGrid>
            <w:tr>
              <w:trPr>
                <w:cantSplit/>
              </w:trPr>
              <w:tc>
                <w:tcPr>
                  <w:tcW w:type="dxa" w:w="5651"/>
                  <w:shd w:val="clear" w:color="auto" w:fill="0C234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  <w:tc>
                <w:tcPr>
                  <w:tcW w:type="dxa" w:w="34"/>
                  <w:shd w:val="clear" w:color="auto" w:fill="EDF1F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</w:tr>
          </w:tbl>
          <w:p/>
        </w:tc>
        <w:tc>
          <w:tcPr>
            <w:tcW w:type="dxa" w:w="1615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{{days}}</w:t>
            </w:r>
          </w:p>
        </w:tc>
      </w:tr>
      <w:tr>
        <w:trPr>
          <w:cantSplit/>
          <w:trHeight w:val="420" w:hRule="atLeast"/>
        </w:trPr>
        <w:tc>
          <w:tcPr>
            <w:tcW w:type="dxa" w:w="2826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{{period}}</w:t>
            </w:r>
          </w:p>
        </w:tc>
        <w:tc>
          <w:tcPr>
            <w:tcW w:type="dxa" w:w="565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tbl>
            <w:tblPr>
              <w:tblW w:type="auto" w:w="0"/>
              <w:jc w:val="left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5651"/>
              <w:gridCol w:w="34"/>
            </w:tblGrid>
            <w:tr>
              <w:trPr>
                <w:cantSplit/>
              </w:trPr>
              <w:tc>
                <w:tcPr>
                  <w:tcW w:type="dxa" w:w="5651"/>
                  <w:shd w:val="clear" w:color="auto" w:fill="1D6FE0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  <w:tc>
                <w:tcPr>
                  <w:tcW w:type="dxa" w:w="34"/>
                  <w:shd w:val="clear" w:color="auto" w:fill="EDF1F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</w:tr>
          </w:tbl>
          <w:p/>
        </w:tc>
        <w:tc>
          <w:tcPr>
            <w:tcW w:type="dxa" w:w="1615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{{days}}</w:t>
            </w:r>
          </w:p>
        </w:tc>
      </w:tr>
      <w:tr>
        <w:trPr>
          <w:cantSplit/>
          <w:trHeight w:val="420" w:hRule="atLeast"/>
        </w:trPr>
        <w:tc>
          <w:tcPr>
            <w:tcW w:type="dxa" w:w="2826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{{period}}</w:t>
            </w:r>
          </w:p>
        </w:tc>
        <w:tc>
          <w:tcPr>
            <w:tcW w:type="dxa" w:w="565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tbl>
            <w:tblPr>
              <w:tblW w:type="auto" w:w="0"/>
              <w:jc w:val="left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5651"/>
              <w:gridCol w:w="34"/>
            </w:tblGrid>
            <w:tr>
              <w:trPr>
                <w:cantSplit/>
              </w:trPr>
              <w:tc>
                <w:tcPr>
                  <w:tcW w:type="dxa" w:w="5651"/>
                  <w:shd w:val="clear" w:color="auto" w:fill="12B0CE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  <w:tc>
                <w:tcPr>
                  <w:tcW w:type="dxa" w:w="34"/>
                  <w:shd w:val="clear" w:color="auto" w:fill="EDF1F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</w:tr>
          </w:tbl>
          <w:p/>
        </w:tc>
        <w:tc>
          <w:tcPr>
            <w:tcW w:type="dxa" w:w="1615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{{days}}</w:t>
            </w:r>
          </w:p>
        </w:tc>
      </w:tr>
      <w:tr>
        <w:trPr>
          <w:cantSplit/>
          <w:trHeight w:val="420" w:hRule="atLeast"/>
        </w:trPr>
        <w:tc>
          <w:tcPr>
            <w:tcW w:type="dxa" w:w="2826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{{period}}</w:t>
            </w:r>
          </w:p>
        </w:tc>
        <w:tc>
          <w:tcPr>
            <w:tcW w:type="dxa" w:w="565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tbl>
            <w:tblPr>
              <w:tblW w:type="auto" w:w="0"/>
              <w:jc w:val="left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5651"/>
              <w:gridCol w:w="34"/>
            </w:tblGrid>
            <w:tr>
              <w:trPr>
                <w:cantSplit/>
              </w:trPr>
              <w:tc>
                <w:tcPr>
                  <w:tcW w:type="dxa" w:w="5651"/>
                  <w:shd w:val="clear" w:color="auto" w:fill="5B96EB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  <w:tc>
                <w:tcPr>
                  <w:tcW w:type="dxa" w:w="34"/>
                  <w:shd w:val="clear" w:color="auto" w:fill="EDF1F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</w:tr>
          </w:tbl>
          <w:p/>
        </w:tc>
        <w:tc>
          <w:tcPr>
            <w:tcW w:type="dxa" w:w="1615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{{days}}</w:t>
            </w:r>
          </w:p>
        </w:tc>
      </w:tr>
      <w:tr>
        <w:trPr>
          <w:cantSplit/>
          <w:trHeight w:val="420" w:hRule="atLeast"/>
        </w:trPr>
        <w:tc>
          <w:tcPr>
            <w:tcW w:type="dxa" w:w="2826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{{period}}</w:t>
            </w:r>
          </w:p>
        </w:tc>
        <w:tc>
          <w:tcPr>
            <w:tcW w:type="dxa" w:w="5651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40" w:type="dxa"/>
              <w:left w:w="0" w:type="dxa"/>
              <w:bottom w:w="40" w:type="dxa"/>
              <w:right w:w="0" w:type="dxa"/>
            </w:tcMar>
            <w:vAlign w:val="center"/>
          </w:tcPr>
          <w:tbl>
            <w:tblPr>
              <w:tblW w:type="auto" w:w="0"/>
              <w:jc w:val="left"/>
              <w:tblInd w:w="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ayout w:type="fixed"/>
              <w:tblLook w:firstColumn="1" w:firstRow="1" w:lastColumn="0" w:lastRow="0" w:noHBand="0" w:noVBand="1" w:val="04A0"/>
            </w:tblPr>
            <w:tblGrid>
              <w:gridCol w:w="5651"/>
              <w:gridCol w:w="34"/>
            </w:tblGrid>
            <w:tr>
              <w:trPr>
                <w:cantSplit/>
              </w:trPr>
              <w:tc>
                <w:tcPr>
                  <w:tcW w:type="dxa" w:w="5651"/>
                  <w:shd w:val="clear" w:color="auto" w:fill="0E8AA3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  <w:tc>
                <w:tcPr>
                  <w:tcW w:type="dxa" w:w="34"/>
                  <w:shd w:val="clear" w:color="auto" w:fill="EDF1F7"/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keepNext w:val="0"/>
                    <w:keepLines/>
                    <w:pageBreakBefore w:val="0"/>
                    <w:widowControl w:val="1"/>
                    <w:spacing w:before="0" w:after="0" w:line="180" w:lineRule="exact"/>
                  </w:pPr>
                  <w:r>
                    <w:rPr>
                      <w:sz w:val="2"/>
                    </w:rPr>
                  </w:r>
                </w:p>
              </w:tc>
            </w:tr>
          </w:tbl>
          <w:p/>
        </w:tc>
        <w:tc>
          <w:tcPr>
            <w:tcW w:type="dxa" w:w="1615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/>
              <w:jc w:val="right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>{{days}}</w:t>
            </w:r>
          </w:p>
        </w:tc>
      </w:tr>
    </w:tbl>
    <w:p>
      <w:pPr>
        <w:keepNext w:val="0"/>
        <w:keepLines/>
        <w:pageBreakBefore w:val="0"/>
        <w:widowControl w:val="1"/>
        <w:spacing w:before="80" w:after="0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Shorter days on market with falling listing volume indicates demand outstripping supply rather than improving marketing.</w:t>
      </w:r>
    </w:p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2B0CE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27"/>
                <w:u w:val="none"/>
              </w:rPr>
              <w:t>05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36"/>
                <w:sz w:val="25"/>
                <w:u w:val="none"/>
              </w:rPr>
              <w:t>Demographics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2B0CE"/>
                <w:spacing w:val="22"/>
                <w:sz w:val="14"/>
                <w:u w:val="none"/>
              </w:rPr>
              <w:t>Who lives here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8"/>
          <w:sz w:val="15"/>
          <w:u w:val="none"/>
        </w:rPr>
        <w:t>Demographic profile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Demographic profile"/>
        <w:tblDescription w:val="Columns: Measure, Suburb, Greater metro, Read"/>
      </w:tblPr>
      <w:tblGrid>
        <w:gridCol w:w="2948"/>
        <w:gridCol w:w="1701"/>
        <w:gridCol w:w="1928"/>
        <w:gridCol w:w="3515"/>
      </w:tblGrid>
      <w:tr>
        <w:trPr>
          <w:cantSplit/>
          <w:trHeight w:val="420" w:hRule="atLeast"/>
          <w:tblHeader/>
        </w:trPr>
        <w:tc>
          <w:tcPr>
            <w:tcW w:type="dxa" w:w="2948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Measure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Suburb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Greater metro</w:t>
            </w:r>
          </w:p>
        </w:tc>
        <w:tc>
          <w:tcPr>
            <w:tcW w:type="dxa" w:w="3515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Read</w:t>
            </w:r>
          </w:p>
        </w:tc>
      </w:tr>
      <w:tr>
        <w:trPr>
          <w:cantSplit/>
          <w:trHeight w:val="397" w:hRule="atLeast"/>
        </w:trPr>
        <w:tc>
          <w:tcPr>
            <w:tcW w:type="dxa" w:w="294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{{measure}}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{{suburb}}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{{metro}}</w:t>
            </w:r>
          </w:p>
        </w:tc>
        <w:tc>
          <w:tcPr>
            <w:tcW w:type="dxa" w:w="351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{{read}}</w:t>
            </w:r>
          </w:p>
        </w:tc>
      </w:tr>
      <w:tr>
        <w:trPr>
          <w:cantSplit/>
          <w:trHeight w:val="397" w:hRule="atLeast"/>
        </w:trPr>
        <w:tc>
          <w:tcPr>
            <w:tcW w:type="dxa" w:w="294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{{measure}}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{{suburb}}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{{metro}}</w:t>
            </w:r>
          </w:p>
        </w:tc>
        <w:tc>
          <w:tcPr>
            <w:tcW w:type="dxa" w:w="351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{{read}}</w:t>
            </w:r>
          </w:p>
        </w:tc>
      </w:tr>
      <w:tr>
        <w:trPr>
          <w:cantSplit/>
          <w:trHeight w:val="397" w:hRule="atLeast"/>
        </w:trPr>
        <w:tc>
          <w:tcPr>
            <w:tcW w:type="dxa" w:w="294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{{measure}}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{{suburb}}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{{metro}}</w:t>
            </w:r>
          </w:p>
        </w:tc>
        <w:tc>
          <w:tcPr>
            <w:tcW w:type="dxa" w:w="351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{{read}}</w:t>
            </w:r>
          </w:p>
        </w:tc>
      </w:tr>
      <w:tr>
        <w:trPr>
          <w:cantSplit/>
          <w:trHeight w:val="397" w:hRule="atLeast"/>
        </w:trPr>
        <w:tc>
          <w:tcPr>
            <w:tcW w:type="dxa" w:w="294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{{measure}}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{{suburb}}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{{metro}}</w:t>
            </w:r>
          </w:p>
        </w:tc>
        <w:tc>
          <w:tcPr>
            <w:tcW w:type="dxa" w:w="351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{{read}}</w:t>
            </w:r>
          </w:p>
        </w:tc>
      </w:tr>
      <w:tr>
        <w:trPr>
          <w:cantSplit/>
          <w:trHeight w:val="397" w:hRule="atLeast"/>
        </w:trPr>
        <w:tc>
          <w:tcPr>
            <w:tcW w:type="dxa" w:w="294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{{measure}}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{{suburb}}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{{metro}}</w:t>
            </w:r>
          </w:p>
        </w:tc>
        <w:tc>
          <w:tcPr>
            <w:tcW w:type="dxa" w:w="351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{{read}}</w:t>
            </w:r>
          </w:p>
        </w:tc>
      </w:tr>
      <w:tr>
        <w:trPr>
          <w:cantSplit/>
          <w:trHeight w:val="397" w:hRule="atLeast"/>
        </w:trPr>
        <w:tc>
          <w:tcPr>
            <w:tcW w:type="dxa" w:w="294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{{measure}}</w:t>
            </w:r>
          </w:p>
        </w:tc>
        <w:tc>
          <w:tcPr>
            <w:tcW w:type="dxa" w:w="1701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{{suburb}}</w:t>
            </w:r>
          </w:p>
        </w:tc>
        <w:tc>
          <w:tcPr>
            <w:tcW w:type="dxa" w:w="1928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  <w:jc w:val="right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{{metro}}</w:t>
            </w:r>
          </w:p>
        </w:tc>
        <w:tc>
          <w:tcPr>
            <w:tcW w:type="dxa" w:w="351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{{read}}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8"/>
          <w:sz w:val="15"/>
          <w:u w:val="none"/>
        </w:rPr>
        <w:t>Infrastructure &amp; amenity — committed and proposed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18"/>
        <w:gridCol w:w="454"/>
        <w:gridCol w:w="7620"/>
      </w:tblGrid>
      <w:tr>
        <w:trPr>
          <w:cantSplit/>
          <w:trHeight w:val="567" w:hRule="atLeast"/>
        </w:trPr>
        <w:tc>
          <w:tcPr>
            <w:tcW w:type="dxa" w:w="2018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0"/>
                <w:sz w:val="15"/>
                <w:u w:val="none"/>
              </w:rPr>
              <w:t>{{when}}</w:t>
            </w:r>
          </w:p>
        </w:tc>
        <w:tc>
          <w:tcPr>
            <w:tcW w:type="dxa" w:w="454"/>
            <w:tcBorders>
              <w:top w:val="nil"/>
              <w:left w:val="single" w:sz="14" w:space="0" w:color="12B0CE"/>
              <w:bottom w:val="nil"/>
              <w:right w:val="nil"/>
            </w:tcBorders>
            <w:shd w:val="clear" w:color="auto" w:fill="D5F1F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</w:p>
        </w:tc>
        <w:tc>
          <w:tcPr>
            <w:tcW w:type="dxa" w:w="7620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20" w:line="288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9"/>
                <w:u w:val="none"/>
              </w:rPr>
              <w:t>{{what}}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7"/>
                <w:u w:val="none"/>
              </w:rPr>
              <w:t>{{detail}}</w:t>
            </w:r>
          </w:p>
        </w:tc>
      </w:tr>
      <w:tr>
        <w:trPr>
          <w:cantSplit/>
          <w:trHeight w:val="567" w:hRule="atLeast"/>
        </w:trPr>
        <w:tc>
          <w:tcPr>
            <w:tcW w:type="dxa" w:w="2018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0"/>
                <w:sz w:val="15"/>
                <w:u w:val="none"/>
              </w:rPr>
              <w:t>{{when}}</w:t>
            </w:r>
          </w:p>
        </w:tc>
        <w:tc>
          <w:tcPr>
            <w:tcW w:type="dxa" w:w="454"/>
            <w:tcBorders>
              <w:top w:val="nil"/>
              <w:left w:val="single" w:sz="14" w:space="0" w:color="12B0CE"/>
              <w:bottom w:val="nil"/>
              <w:right w:val="nil"/>
            </w:tcBorders>
            <w:shd w:val="clear" w:color="auto" w:fill="D5F1F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</w:p>
        </w:tc>
        <w:tc>
          <w:tcPr>
            <w:tcW w:type="dxa" w:w="7620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20" w:line="288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9"/>
                <w:u w:val="none"/>
              </w:rPr>
              <w:t>{{what}}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7"/>
                <w:u w:val="none"/>
              </w:rPr>
              <w:t>{{detail}}</w:t>
            </w:r>
          </w:p>
        </w:tc>
      </w:tr>
      <w:tr>
        <w:trPr>
          <w:cantSplit/>
          <w:trHeight w:val="567" w:hRule="atLeast"/>
        </w:trPr>
        <w:tc>
          <w:tcPr>
            <w:tcW w:type="dxa" w:w="2018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right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0"/>
                <w:sz w:val="15"/>
                <w:u w:val="none"/>
              </w:rPr>
              <w:t>{{when}}</w:t>
            </w:r>
          </w:p>
        </w:tc>
        <w:tc>
          <w:tcPr>
            <w:tcW w:type="dxa" w:w="454"/>
            <w:tcBorders>
              <w:top w:val="nil"/>
              <w:left w:val="single" w:sz="14" w:space="0" w:color="12B0CE"/>
              <w:bottom w:val="nil"/>
              <w:right w:val="nil"/>
            </w:tcBorders>
            <w:shd w:val="clear" w:color="auto" w:fill="D5F1F7"/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</w:p>
        </w:tc>
        <w:tc>
          <w:tcPr>
            <w:tcW w:type="dxa" w:w="7620"/>
            <w:tcBorders>
              <w:top w:val="nil"/>
              <w:left w:val="nil"/>
              <w:bottom w:val="single" w:sz="4" w:space="0" w:color="DCE3ED"/>
              <w:right w:val="nil"/>
            </w:tcBorders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20" w:line="288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9"/>
                <w:u w:val="none"/>
              </w:rPr>
              <w:t>{{what}}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7"/>
                <w:u w:val="none"/>
              </w:rPr>
              <w:t>{{detail}}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2B0CE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27"/>
                <w:u w:val="none"/>
              </w:rPr>
              <w:t>06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36"/>
                <w:sz w:val="25"/>
                <w:u w:val="none"/>
              </w:rPr>
              <w:t>Location map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2B0CE"/>
                <w:spacing w:val="22"/>
                <w:sz w:val="14"/>
                <w:u w:val="none"/>
              </w:rPr>
              <w:t>The catchment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  <w:trHeight w:val="3855" w:hRule="atLeast"/>
        </w:trPr>
        <w:tc>
          <w:tcPr>
            <w:tcW w:type="dxa" w:w="10091"/>
            <w:shd w:val="clear" w:color="auto" w:fill="EDF1F7"/>
            <w:tcMar>
              <w:top w:w="120" w:type="dxa"/>
              <w:left w:w="140" w:type="dxa"/>
              <w:bottom w:w="120" w:type="dxa"/>
              <w:right w:w="14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8493A8"/>
                <w:spacing w:val="32"/>
                <w:sz w:val="15"/>
                <w:u w:val="none"/>
              </w:rPr>
              <w:t>[  SUBURB AND CATCHMENT MAP  ]</w:t>
            </w:r>
          </w:p>
        </w:tc>
      </w:tr>
    </w:tbl>
    <w:p>
      <w:pPr>
        <w:keepNext w:val="0"/>
        <w:keepLines/>
        <w:pageBreakBefore w:val="0"/>
        <w:widowControl w:val="1"/>
        <w:spacing w:before="60" w:after="0" w:line="293" w:lineRule="auto"/>
      </w:pPr>
      <w:r>
        <w:rPr>
          <w:rFonts w:ascii="Calibri" w:hAnsi="Calibri" w:cs="Calibri" w:eastAsia="Calibri"/>
          <w:b w:val="0"/>
          <w:i/>
          <w:color w:val="8493A8"/>
          <w:sz w:val="14"/>
          <w:u w:val="none"/>
        </w:rPr>
        <w:t>Alt text: Map showing the suburb boundary, rail, schools and the employment centre</w:t>
      </w:r>
    </w:p>
    <w:p>
      <w:pPr>
        <w:keepNext w:val="0"/>
        <w:keepLines/>
        <w:pageBreakBefore w:val="0"/>
        <w:widowControl w:val="1"/>
        <w:spacing w:before="0" w:after="0" w:line="6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2018"/>
        <w:gridCol w:w="2018"/>
        <w:gridCol w:w="2018"/>
        <w:gridCol w:w="2018"/>
        <w:gridCol w:w="2018"/>
      </w:tblGrid>
      <w:tr>
        <w:trPr>
          <w:cantSplit/>
        </w:trPr>
        <w:tc>
          <w:tcPr>
            <w:tcW w:type="dxa" w:w="2018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17"/>
                <w:u w:val="none"/>
              </w:rPr>
              <w:t xml:space="preserve">▬  </w:t>
            </w: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Suburb boundary</w:t>
            </w:r>
          </w:p>
        </w:tc>
        <w:tc>
          <w:tcPr>
            <w:tcW w:type="dxa" w:w="2018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D6FE0"/>
                <w:sz w:val="17"/>
                <w:u w:val="none"/>
              </w:rPr>
              <w:t xml:space="preserve">▲  </w:t>
            </w: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Rail</w:t>
            </w:r>
          </w:p>
        </w:tc>
        <w:tc>
          <w:tcPr>
            <w:tcW w:type="dxa" w:w="2018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12B0CE"/>
                <w:sz w:val="17"/>
                <w:u w:val="none"/>
              </w:rPr>
              <w:t xml:space="preserve">■  </w:t>
            </w: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Schools</w:t>
            </w:r>
          </w:p>
        </w:tc>
        <w:tc>
          <w:tcPr>
            <w:tcW w:type="dxa" w:w="2018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5B96EB"/>
                <w:sz w:val="17"/>
                <w:u w:val="none"/>
              </w:rPr>
              <w:t xml:space="preserve">◆  </w:t>
            </w: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Retail</w:t>
            </w:r>
          </w:p>
        </w:tc>
        <w:tc>
          <w:tcPr>
            <w:tcW w:type="dxa" w:w="2018"/>
            <w:tcMar>
              <w:top w:w="50" w:type="dxa"/>
              <w:left w:w="60" w:type="dxa"/>
              <w:bottom w:w="50" w:type="dxa"/>
              <w:right w:w="60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olor w:val="0E8AA3"/>
                <w:sz w:val="17"/>
                <w:u w:val="none"/>
              </w:rPr>
              <w:t xml:space="preserve">●  </w:t>
            </w:r>
            <w:r>
              <w:rPr>
                <w:rFonts w:ascii="Calibri" w:hAnsi="Calibri" w:cs="Calibri" w:eastAsia="Calibri"/>
                <w:b w:val="0"/>
                <w:i w:val="0"/>
                <w:color w:val="4C5B73"/>
                <w:sz w:val="14"/>
                <w:u w:val="none"/>
              </w:rPr>
              <w:t>Employment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26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4C5B73"/>
          <w:spacing w:val="28"/>
          <w:sz w:val="15"/>
          <w:u w:val="none"/>
        </w:rPr>
        <w:t>Comparable suburbs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Comparable suburbs"/>
        <w:tblDescription w:val="Compares: Northbridge, Willoughby, Naremburn"/>
      </w:tblPr>
      <w:tblGrid>
        <w:gridCol w:w="2624"/>
        <w:gridCol w:w="2489"/>
        <w:gridCol w:w="2489"/>
        <w:gridCol w:w="2489"/>
      </w:tblGrid>
      <w:tr>
        <w:trPr>
          <w:cantSplit/>
          <w:trHeight w:val="510" w:hRule="atLeast"/>
          <w:tblHeader/>
        </w:trPr>
        <w:tc>
          <w:tcPr>
            <w:tcW w:type="dxa" w:w="2624"/>
            <w:tcBorders>
              <w:top w:val="nil"/>
              <w:left w:val="nil"/>
              <w:bottom w:val="single" w:sz="8" w:space="0" w:color="12B0CE"/>
              <w:right w:val="single" w:sz="16" w:space="0" w:color="FFFFFF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</w:p>
        </w:tc>
        <w:tc>
          <w:tcPr>
            <w:tcW w:type="dxa" w:w="2489"/>
            <w:tcBorders>
              <w:top w:val="nil"/>
              <w:left w:val="nil"/>
              <w:bottom w:val="single" w:sz="8" w:space="0" w:color="12B0CE"/>
              <w:right w:val="single" w:sz="16" w:space="0" w:color="FFFFFF"/>
            </w:tcBorders>
            <w:shd w:val="clear" w:color="auto" w:fill="12B0CE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6"/>
                <w:u w:val="none"/>
              </w:rPr>
              <w:t>Northbridge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8" w:space="0" w:color="12B0CE"/>
              <w:right w:val="single" w:sz="16" w:space="0" w:color="FFFFFF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6"/>
                <w:u w:val="none"/>
              </w:rPr>
              <w:t>Willoughby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  <w:jc w:val="center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6"/>
                <w:u w:val="none"/>
              </w:rPr>
              <w:t>Naremburn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Median — house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EFAFC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$1,842,000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$2,410,000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$2,180,000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10-year growth p.a.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EFAFC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6.1%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5.6%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5.9%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Gross yield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EFAFC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2.9%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2.6%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2.7%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Vacancy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EFAFC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1.1%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1.4%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1.2%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Owner-occupied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EFAFC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71%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64%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61%</w:t>
            </w:r>
          </w:p>
        </w:tc>
      </w:tr>
      <w:tr>
        <w:trPr>
          <w:cantSplit/>
        </w:trPr>
        <w:tc>
          <w:tcPr>
            <w:tcW w:type="dxa" w:w="262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DF1F7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74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0192A"/>
                <w:spacing w:val="16"/>
                <w:sz w:val="15"/>
                <w:u w:val="none"/>
              </w:rPr>
              <w:t>Annual sales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EEFAFC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41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96</w:t>
            </w:r>
          </w:p>
        </w:tc>
        <w:tc>
          <w:tcPr>
            <w:tcW w:type="dxa" w:w="2489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center"/>
          </w:tcPr>
          <w:p>
            <w:pPr>
              <w:keepNext w:val="0"/>
              <w:keepLines/>
              <w:pageBreakBefore w:val="0"/>
              <w:widowControl w:val="1"/>
              <w:spacing w:before="0" w:after="0" w:line="288" w:lineRule="auto"/>
              <w:jc w:val="center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72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2B0CE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27"/>
                <w:u w:val="none"/>
              </w:rPr>
              <w:t>07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36"/>
                <w:sz w:val="25"/>
                <w:u w:val="none"/>
              </w:rPr>
              <w:t>Outlook &amp; risks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2B0CE"/>
                <w:spacing w:val="22"/>
                <w:sz w:val="14"/>
                <w:u w:val="none"/>
              </w:rPr>
              <w:t>What could change the thesis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B3261E"/>
          <w:spacing w:val="28"/>
          <w:sz w:val="15"/>
          <w:u w:val="none"/>
        </w:rPr>
        <w:t>Outlook &amp; risks</w:t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Outlook &amp; risks"/>
        <w:tblDescription w:val="Columns: Risk, Severity, Mitigation"/>
      </w:tblPr>
      <w:tblGrid>
        <w:gridCol w:w="4037"/>
        <w:gridCol w:w="1413"/>
        <w:gridCol w:w="4642"/>
      </w:tblGrid>
      <w:tr>
        <w:trPr>
          <w:cantSplit/>
          <w:tblHeader/>
        </w:trPr>
        <w:tc>
          <w:tcPr>
            <w:tcW w:type="dxa" w:w="4037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2"/>
                <w:sz w:val="15"/>
                <w:u w:val="none"/>
              </w:rPr>
              <w:t>Risk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2"/>
                <w:sz w:val="15"/>
                <w:u w:val="none"/>
              </w:rPr>
              <w:t>Severity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</w:tcPr>
          <w:p>
            <w:pPr>
              <w:keepNext w:val="0"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2"/>
                <w:sz w:val="15"/>
                <w:u w:val="none"/>
              </w:rPr>
              <w:t>Mitigation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  <w:tr>
        <w:trPr>
          <w:cantSplit/>
        </w:trPr>
        <w:tc>
          <w:tcPr>
            <w:tcW w:type="dxa" w:w="4037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{{risk.description}}</w:t>
            </w:r>
          </w:p>
        </w:tc>
        <w:tc>
          <w:tcPr>
            <w:tcW w:type="dxa" w:w="1413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BF1E0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B26A00"/>
                <w:sz w:val="17"/>
                <w:u w:val="none"/>
              </w:rPr>
              <w:t>▲  MEDIUM</w:t>
            </w:r>
          </w:p>
        </w:tc>
        <w:tc>
          <w:tcPr>
            <w:tcW w:type="dxa" w:w="464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8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{{risk.mitigation}}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2B0CE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  <w:r>
              <w:rPr>
                <w:rFonts w:ascii="Calibri" w:hAnsi="Calibri" w:cs="Calibri" w:eastAsia="Calibri"/>
                <w:b/>
                <w:i w:val="0"/>
                <w:color w:val="FFFFFF"/>
                <w:sz w:val="27"/>
                <w:u w:val="none"/>
              </w:rPr>
              <w:t>08</w:t>
            </w: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36"/>
                <w:sz w:val="25"/>
                <w:u w:val="none"/>
              </w:rPr>
              <w:t>Conclusion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2B0CE"/>
                <w:spacing w:val="22"/>
                <w:sz w:val="14"/>
                <w:u w:val="none"/>
              </w:rPr>
              <w:t>Invest, monitor or avoid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10091"/>
      </w:tblGrid>
      <w:tr>
        <w:trPr>
          <w:cantSplit/>
        </w:trPr>
        <w:tc>
          <w:tcPr>
            <w:tcW w:type="dxa" w:w="10091"/>
            <w:tcBorders>
              <w:top w:val="single" w:sz="6" w:space="0" w:color="12B0CE"/>
              <w:left w:val="single" w:sz="26" w:space="0" w:color="12B0CE"/>
              <w:bottom w:val="single" w:sz="6" w:space="0" w:color="12B0CE"/>
              <w:right w:val="single" w:sz="6" w:space="0" w:color="12B0CE"/>
            </w:tcBorders>
            <w:shd w:val="clear" w:color="auto" w:fill="EEFAFC"/>
            <w:tcMar>
              <w:top w:w="171" w:type="dxa"/>
              <w:left w:w="199" w:type="dxa"/>
              <w:bottom w:w="171" w:type="dxa"/>
              <w:right w:w="199" w:type="dxa"/>
            </w:tcMar>
          </w:tcPr>
          <w:p>
            <w:pPr>
              <w:keepNext/>
              <w:keepLines/>
              <w:pageBreakBefore w:val="0"/>
              <w:widowControl w:val="1"/>
              <w:spacing w:before="0" w:after="10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12B0CE"/>
                <w:spacing w:val="28"/>
                <w:sz w:val="15"/>
                <w:u w:val="none"/>
              </w:rPr>
              <w:t>CONCLUSION</w:t>
            </w: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4"/>
                <w:sz w:val="14"/>
                <w:u w:val="none"/>
              </w:rPr>
              <w:t xml:space="preserve">     CONFIDENCE: {{REPORT.CONFIDENCE}}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120" w:line="298" w:lineRule="auto"/>
            </w:pPr>
            <w:r>
              <w:rPr>
                <w:rFonts w:ascii="Calibri" w:hAnsi="Calibri" w:cs="Calibri" w:eastAsia="Calibri"/>
                <w:b/>
                <w:i w:val="0"/>
                <w:color w:val="0C2340"/>
                <w:sz w:val="22"/>
                <w:u w:val="none"/>
              </w:rPr>
              <w:t>{{report.conclusion}}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317" w:lineRule="auto"/>
            </w:pP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7"/>
                <w:u w:val="none"/>
              </w:rPr>
              <w:t>{{report.conclusionRationale}}</w:t>
            </w:r>
          </w:p>
          <w:p>
            <w:pPr>
              <w:keepNext w:val="0"/>
              <w:keepLines/>
              <w:pageBreakBefore w:val="0"/>
              <w:widowControl w:val="1"/>
              <w:spacing w:before="0" w:after="0" w:line="140" w:lineRule="exact"/>
            </w:pPr>
            <w:r>
              <w:rPr>
                <w:sz w:val="2"/>
              </w:rPr>
            </w:r>
          </w:p>
          <w:p>
            <w:pPr>
              <w:keepNext/>
              <w:keepLines/>
              <w:pageBreakBefore w:val="0"/>
              <w:widowControl w:val="1"/>
              <w:spacing w:before="0" w:after="8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4C5B73"/>
                <w:spacing w:val="28"/>
                <w:sz w:val="15"/>
                <w:u w:val="none"/>
              </w:rPr>
              <w:t>Next steps</w:t>
            </w:r>
          </w:p>
          <w:p>
            <w:pPr>
              <w:keepNext w:val="0"/>
              <w:keepLines/>
              <w:pageBreakBefore w:val="0"/>
              <w:widowControl w:val="1"/>
              <w:tabs>
                <w:tab w:val="left" w:pos="320"/>
              </w:tabs>
              <w:spacing w:before="0" w:after="0" w:line="317" w:lineRule="auto"/>
              <w:ind w:left="320" w:hanging="320"/>
            </w:pPr>
            <w:r>
              <w:rPr>
                <w:rFonts w:ascii="Calibri" w:hAnsi="Calibri" w:cs="Calibri" w:eastAsia="Calibri"/>
                <w:b/>
                <w:i w:val="0"/>
                <w:color w:val="12B0CE"/>
                <w:sz w:val="19"/>
                <w:u w:val="none"/>
              </w:rPr>
              <w:t>1.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ab/>
              <w:t>{{report.conclusionActions[0]}}</w:t>
            </w:r>
          </w:p>
          <w:p>
            <w:pPr>
              <w:keepNext w:val="0"/>
              <w:keepLines/>
              <w:pageBreakBefore w:val="0"/>
              <w:widowControl w:val="1"/>
              <w:tabs>
                <w:tab w:val="left" w:pos="320"/>
              </w:tabs>
              <w:spacing w:before="80" w:after="0" w:line="317" w:lineRule="auto"/>
              <w:ind w:left="320" w:hanging="320"/>
            </w:pPr>
            <w:r>
              <w:rPr>
                <w:rFonts w:ascii="Calibri" w:hAnsi="Calibri" w:cs="Calibri" w:eastAsia="Calibri"/>
                <w:b/>
                <w:i w:val="0"/>
                <w:color w:val="12B0CE"/>
                <w:sz w:val="19"/>
                <w:u w:val="none"/>
              </w:rPr>
              <w:t>2.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ab/>
              <w:t>{{report.conclusionActions[1]}}</w:t>
            </w:r>
          </w:p>
          <w:p>
            <w:pPr>
              <w:keepNext w:val="0"/>
              <w:keepLines/>
              <w:pageBreakBefore w:val="0"/>
              <w:widowControl w:val="1"/>
              <w:tabs>
                <w:tab w:val="left" w:pos="320"/>
              </w:tabs>
              <w:spacing w:before="80" w:after="0" w:line="317" w:lineRule="auto"/>
              <w:ind w:left="320" w:hanging="320"/>
            </w:pPr>
            <w:r>
              <w:rPr>
                <w:rFonts w:ascii="Calibri" w:hAnsi="Calibri" w:cs="Calibri" w:eastAsia="Calibri"/>
                <w:b/>
                <w:i w:val="0"/>
                <w:color w:val="12B0CE"/>
                <w:sz w:val="19"/>
                <w:u w:val="none"/>
              </w:rPr>
              <w:t>3.</w:t>
            </w:r>
            <w:r>
              <w:rPr>
                <w:rFonts w:ascii="Calibri" w:hAnsi="Calibri" w:cs="Calibri" w:eastAsia="Calibri"/>
                <w:b w:val="0"/>
                <w:i w:val="0"/>
                <w:color w:val="10192A"/>
                <w:sz w:val="19"/>
                <w:u w:val="none"/>
              </w:rPr>
              <w:tab/>
              <w:t>{{report.conclusionActions[2]}}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p>
      <w:pPr>
        <w:keepNext/>
        <w:keepLines/>
        <w:pageBreakBefore w:val="0"/>
        <w:widowControl w:val="1"/>
        <w:spacing w:before="0" w:after="80"/>
      </w:pPr>
      <w:r>
        <w:rPr>
          <w:rFonts w:ascii="Calibri" w:hAnsi="Calibri" w:cs="Calibri" w:eastAsia="Calibri"/>
          <w:b/>
          <w:i w:val="0"/>
          <w:caps w:val="1"/>
          <w:color w:val="12B0CE"/>
          <w:spacing w:val="52"/>
          <w:sz w:val="15"/>
          <w:u w:val="none"/>
        </w:rPr>
        <w:t>APPENDIX A</w:t>
      </w:r>
    </w:p>
    <w:p>
      <w:pPr>
        <w:keepNext/>
        <w:keepLines/>
        <w:pageBreakBefore w:val="0"/>
        <w:widowControl w:val="1"/>
        <w:spacing w:before="0" w:after="120"/>
      </w:pPr>
      <w:r>
        <w:rPr>
          <w:rFonts w:ascii="Calibri" w:hAnsi="Calibri" w:cs="Calibri" w:eastAsia="Calibri"/>
          <w:b/>
          <w:i w:val="0"/>
          <w:color w:val="0C2340"/>
          <w:sz w:val="34"/>
          <w:u w:val="none"/>
        </w:rPr>
        <w:t>Data sources</w:t>
      </w:r>
    </w:p>
    <w:p>
      <w:pPr>
        <w:keepNext w:val="0"/>
        <w:keepLines/>
        <w:pageBreakBefore w:val="0"/>
        <w:widowControl w:val="1"/>
        <w:pBdr>
          <w:bottom w:val="single" w:sz="10" w:space="1" w:color="12B0CE"/>
        </w:pBdr>
        <w:spacing w:before="0" w:after="120" w:line="20" w:lineRule="exact"/>
      </w:pPr>
      <w:r>
        <w:rPr>
          <w:sz w:val="2"/>
        </w:rPr>
      </w:r>
    </w:p>
    <w:p>
      <w:pPr>
        <w:keepNext w:val="0"/>
        <w:keepLines/>
        <w:pageBreakBefore w:val="0"/>
        <w:widowControl w:val="1"/>
        <w:spacing w:before="0" w:after="0" w:line="317" w:lineRule="auto"/>
      </w:pPr>
      <w:r>
        <w:rPr>
          <w:rFonts w:ascii="Calibri" w:hAnsi="Calibri" w:cs="Calibri" w:eastAsia="Calibri"/>
          <w:b w:val="0"/>
          <w:i w:val="0"/>
          <w:color w:val="4C5B73"/>
          <w:sz w:val="19"/>
          <w:u w:val="none"/>
        </w:rPr>
        <w:t>Every figure in this report and where it came from.</w:t>
      </w:r>
    </w:p>
    <w:p>
      <w:pPr>
        <w:keepNext w:val="0"/>
        <w:keepLines/>
        <w:pageBreakBefore w:val="0"/>
        <w:widowControl w:val="1"/>
        <w:spacing w:before="0" w:after="0" w:line="108" w:lineRule="exact"/>
      </w:pPr>
      <w:r>
        <w:rPr>
          <w:sz w:val="2"/>
        </w:rPr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  <w:tblCaption w:val="Data table"/>
        <w:tblDescription w:val="Columns: Data, Source, As at"/>
      </w:tblPr>
      <w:tblGrid>
        <w:gridCol w:w="3515"/>
        <w:gridCol w:w="4422"/>
        <w:gridCol w:w="2154"/>
      </w:tblGrid>
      <w:tr>
        <w:trPr>
          <w:cantSplit/>
          <w:trHeight w:val="420" w:hRule="atLeast"/>
          <w:tblHeader/>
        </w:trPr>
        <w:tc>
          <w:tcPr>
            <w:tcW w:type="dxa" w:w="3515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Data</w:t>
            </w:r>
          </w:p>
        </w:tc>
        <w:tc>
          <w:tcPr>
            <w:tcW w:type="dxa" w:w="4422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Source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8" w:space="0" w:color="12B0CE"/>
              <w:right w:val="nil"/>
            </w:tcBorders>
            <w:shd w:val="clear" w:color="auto" w:fill="0C2340"/>
            <w:tcMar>
              <w:top w:w="95" w:type="dxa"/>
              <w:left w:w="133" w:type="dxa"/>
              <w:bottom w:w="95" w:type="dxa"/>
              <w:right w:w="133" w:type="dxa"/>
            </w:tcMar>
            <w:vAlign w:val="bottom"/>
          </w:tcPr>
          <w:p>
            <w:pPr>
              <w:keepNext w:val="0"/>
              <w:keepLines/>
              <w:pageBreakBefore w:val="0"/>
              <w:widowControl w:val="1"/>
              <w:spacing w:before="0" w:after="0" w:line="269" w:lineRule="auto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20"/>
                <w:sz w:val="15"/>
                <w:u w:val="none"/>
              </w:rPr>
              <w:t>As at</w:t>
            </w:r>
          </w:p>
        </w:tc>
      </w:tr>
      <w:tr>
        <w:trPr>
          <w:cantSplit/>
          <w:trHeight w:val="397" w:hRule="atLeast"/>
        </w:trPr>
        <w:tc>
          <w:tcPr>
            <w:tcW w:type="dxa" w:w="351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{{data}}</w:t>
            </w:r>
          </w:p>
        </w:tc>
        <w:tc>
          <w:tcPr>
            <w:tcW w:type="dxa" w:w="442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{{source}}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{{asAt}}</w:t>
            </w:r>
          </w:p>
        </w:tc>
      </w:tr>
      <w:tr>
        <w:trPr>
          <w:cantSplit/>
          <w:trHeight w:val="397" w:hRule="atLeast"/>
        </w:trPr>
        <w:tc>
          <w:tcPr>
            <w:tcW w:type="dxa" w:w="351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{{data}}</w:t>
            </w:r>
          </w:p>
        </w:tc>
        <w:tc>
          <w:tcPr>
            <w:tcW w:type="dxa" w:w="442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{{source}}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{{asAt}}</w:t>
            </w:r>
          </w:p>
        </w:tc>
      </w:tr>
      <w:tr>
        <w:trPr>
          <w:cantSplit/>
          <w:trHeight w:val="397" w:hRule="atLeast"/>
        </w:trPr>
        <w:tc>
          <w:tcPr>
            <w:tcW w:type="dxa" w:w="351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{{data}}</w:t>
            </w:r>
          </w:p>
        </w:tc>
        <w:tc>
          <w:tcPr>
            <w:tcW w:type="dxa" w:w="442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{{source}}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{{asAt}}</w:t>
            </w:r>
          </w:p>
        </w:tc>
      </w:tr>
      <w:tr>
        <w:trPr>
          <w:cantSplit/>
          <w:trHeight w:val="397" w:hRule="atLeast"/>
        </w:trPr>
        <w:tc>
          <w:tcPr>
            <w:tcW w:type="dxa" w:w="351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{{data}}</w:t>
            </w:r>
          </w:p>
        </w:tc>
        <w:tc>
          <w:tcPr>
            <w:tcW w:type="dxa" w:w="442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{{source}}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7F9FC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{{asAt}}</w:t>
            </w:r>
          </w:p>
        </w:tc>
      </w:tr>
      <w:tr>
        <w:trPr>
          <w:cantSplit/>
          <w:trHeight w:val="397" w:hRule="atLeast"/>
        </w:trPr>
        <w:tc>
          <w:tcPr>
            <w:tcW w:type="dxa" w:w="3515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{{data}}</w:t>
            </w:r>
          </w:p>
        </w:tc>
        <w:tc>
          <w:tcPr>
            <w:tcW w:type="dxa" w:w="4422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{{source}}</w:t>
            </w:r>
          </w:p>
        </w:tc>
        <w:tc>
          <w:tcPr>
            <w:tcW w:type="dxa" w:w="2154"/>
            <w:tcBorders>
              <w:top w:val="nil"/>
              <w:left w:val="nil"/>
              <w:bottom w:val="single" w:sz="4" w:space="0" w:color="DCE3ED"/>
              <w:right w:val="nil"/>
            </w:tcBorders>
            <w:shd w:val="clear" w:color="auto" w:fill="FFFFFF"/>
            <w:tcMar>
              <w:top w:w="95" w:type="dxa"/>
              <w:left w:w="133" w:type="dxa"/>
              <w:bottom w:w="95" w:type="dxa"/>
              <w:right w:w="133" w:type="dxa"/>
            </w:tcMar>
            <w:vAlign w:val="top"/>
          </w:tcPr>
          <w:p>
            <w:pPr>
              <w:keepNext w:val="0"/>
              <w:keepLines/>
              <w:pageBreakBefore w:val="0"/>
              <w:widowControl w:val="1"/>
              <w:spacing w:before="0" w:after="0" w:line="293" w:lineRule="auto"/>
            </w:pPr>
            <w:r>
              <w:rPr>
                <w:rFonts w:ascii="Calibri" w:hAnsi="Calibri" w:cs="Calibri" w:eastAsia="Calibri"/>
                <w:b w:val="0"/>
                <w:i/>
                <w:color w:val="8493A8"/>
                <w:sz w:val="17"/>
                <w:u w:val="none"/>
              </w:rPr>
              <w:t>{{asAt}}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/>
      </w:pPr>
      <w:r>
        <w:br w:type="page"/>
      </w:r>
    </w:p>
    <w:tbl>
      <w:tblPr>
        <w:tblW w:type="auto" w:w="0"/>
        <w:jc w:val="center"/>
        <w:tblInd w:w="0" w:type="dxa"/>
        <w:tblBorders>
          <w:top w:val="nil"/>
          <w:left w:val="nil"/>
          <w:bottom w:val="nil"/>
          <w:right w:val="nil"/>
          <w:insideH w:val="nil"/>
          <w:insideV w:val="nil"/>
        </w:tblBorders>
        <w:tblLayout w:type="fixed"/>
        <w:tblLook w:firstColumn="1" w:firstRow="1" w:lastColumn="0" w:lastRow="0" w:noHBand="0" w:noVBand="1" w:val="04A0"/>
      </w:tblPr>
      <w:tblGrid>
        <w:gridCol w:w="964"/>
        <w:gridCol w:w="9128"/>
      </w:tblGrid>
      <w:tr>
        <w:trPr>
          <w:cantSplit/>
          <w:trHeight w:val="680" w:hRule="atLeast"/>
        </w:trPr>
        <w:tc>
          <w:tcPr>
            <w:tcW w:type="dxa" w:w="964"/>
            <w:shd w:val="clear" w:color="auto" w:fill="12B0CE"/>
            <w:tcMar>
              <w:top w:w="90" w:type="dxa"/>
              <w:left w:w="50" w:type="dxa"/>
              <w:bottom w:w="90" w:type="dxa"/>
              <w:right w:w="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0"/>
              <w:jc w:val="center"/>
            </w:pPr>
          </w:p>
        </w:tc>
        <w:tc>
          <w:tcPr>
            <w:tcW w:type="dxa" w:w="9128"/>
            <w:shd w:val="clear" w:color="auto" w:fill="0C2340"/>
            <w:tcMar>
              <w:top w:w="95" w:type="dxa"/>
              <w:left w:w="190" w:type="dxa"/>
              <w:bottom w:w="95" w:type="dxa"/>
              <w:right w:w="150" w:type="dxa"/>
            </w:tcMar>
            <w:vAlign w:val="center"/>
          </w:tcPr>
          <w:p>
            <w:pPr>
              <w:keepNext/>
              <w:keepLines/>
              <w:pageBreakBefore w:val="0"/>
              <w:widowControl w:val="1"/>
              <w:spacing w:before="0" w:after="20"/>
            </w:pPr>
            <w:r>
              <w:rPr>
                <w:rFonts w:ascii="Calibri" w:hAnsi="Calibri" w:cs="Calibri" w:eastAsia="Calibri"/>
                <w:b/>
                <w:i w:val="0"/>
                <w:caps w:val="1"/>
                <w:color w:val="FFFFFF"/>
                <w:spacing w:val="36"/>
                <w:sz w:val="25"/>
                <w:u w:val="none"/>
              </w:rPr>
              <w:t>Important information</w:t>
            </w:r>
          </w:p>
          <w:p>
            <w:pPr>
              <w:keepNext/>
              <w:keepLines/>
              <w:pageBreakBefore w:val="0"/>
              <w:widowControl w:val="1"/>
              <w:spacing w:before="0" w:after="0"/>
            </w:pPr>
            <w:r>
              <w:rPr>
                <w:rFonts w:ascii="Calibri" w:hAnsi="Calibri" w:cs="Calibri" w:eastAsia="Calibri"/>
                <w:b w:val="0"/>
                <w:i w:val="0"/>
                <w:caps w:val="1"/>
                <w:color w:val="12B0CE"/>
                <w:spacing w:val="22"/>
                <w:sz w:val="14"/>
                <w:u w:val="none"/>
              </w:rPr>
              <w:t>Disclaimer, privacy and terms</w:t>
            </w:r>
          </w:p>
        </w:tc>
      </w:tr>
    </w:tbl>
    <w:p>
      <w:pPr>
        <w:keepNext w:val="0"/>
        <w:keepLines/>
        <w:pageBreakBefore w:val="0"/>
        <w:widowControl w:val="1"/>
        <w:spacing w:before="0" w:after="0" w:line="18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Calibri" w:hAnsi="Calibri" w:cs="Calibri" w:eastAsia="Calibri"/>
          <w:b/>
          <w:i w:val="0"/>
          <w:color w:val="0C2340"/>
          <w:sz w:val="21"/>
          <w:u w:val="none"/>
        </w:rPr>
        <w:t>Disclaimer</w:t>
      </w:r>
    </w:p>
    <w:p>
      <w:pPr>
        <w:keepNext w:val="0"/>
        <w:keepLines/>
        <w:pageBreakBefore w:val="0"/>
        <w:widowControl w:val="1"/>
        <w:spacing w:before="0" w:after="0" w:line="317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{{legal.disclaimer}}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Calibri" w:hAnsi="Calibri" w:cs="Calibri" w:eastAsia="Calibri"/>
          <w:b/>
          <w:i w:val="0"/>
          <w:color w:val="0C2340"/>
          <w:sz w:val="21"/>
          <w:u w:val="none"/>
        </w:rPr>
        <w:t>Privacy</w:t>
      </w:r>
    </w:p>
    <w:p>
      <w:pPr>
        <w:keepNext w:val="0"/>
        <w:keepLines/>
        <w:pageBreakBefore w:val="0"/>
        <w:widowControl w:val="1"/>
        <w:spacing w:before="0" w:after="0" w:line="317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{{legal.privacyNotice}}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p>
      <w:pPr>
        <w:keepNext/>
        <w:keepLines/>
        <w:pageBreakBefore w:val="0"/>
        <w:widowControl w:val="1"/>
        <w:spacing w:before="160" w:after="80"/>
      </w:pPr>
      <w:r>
        <w:rPr>
          <w:rFonts w:ascii="Calibri" w:hAnsi="Calibri" w:cs="Calibri" w:eastAsia="Calibri"/>
          <w:b/>
          <w:i w:val="0"/>
          <w:color w:val="0C2340"/>
          <w:sz w:val="21"/>
          <w:u w:val="none"/>
        </w:rPr>
        <w:t>Terms of use</w:t>
      </w:r>
    </w:p>
    <w:p>
      <w:pPr>
        <w:keepNext w:val="0"/>
        <w:keepLines/>
        <w:pageBreakBefore w:val="0"/>
        <w:widowControl w:val="1"/>
        <w:spacing w:before="0" w:after="0" w:line="317" w:lineRule="auto"/>
      </w:pPr>
      <w:r>
        <w:rPr>
          <w:rFonts w:ascii="Calibri" w:hAnsi="Calibri" w:cs="Calibri" w:eastAsia="Calibri"/>
          <w:b w:val="0"/>
          <w:i w:val="0"/>
          <w:color w:val="4C5B73"/>
          <w:sz w:val="17"/>
          <w:u w:val="none"/>
        </w:rPr>
        <w:t>{{legal.terms}}</w:t>
      </w:r>
    </w:p>
    <w:p>
      <w:pPr>
        <w:keepNext w:val="0"/>
        <w:keepLines/>
        <w:pageBreakBefore w:val="0"/>
        <w:widowControl w:val="1"/>
        <w:spacing w:before="0" w:after="0" w:line="100" w:lineRule="exact"/>
      </w:pPr>
      <w:r>
        <w:rPr>
          <w:sz w:val="2"/>
        </w:rPr>
      </w:r>
    </w:p>
    <w:sectPr w:rsidR="00FC693F" w:rsidRPr="0006063C" w:rsidSect="00034616">
      <w:headerReference w:type="first" r:id="rId9"/>
      <w:headerReference w:type="default" r:id="rId10"/>
      <w:footerReference w:type="default" r:id="rId11"/>
      <w:footerReference w:type="first" r:id="rId12"/>
      <w:pgSz w:w="11906" w:h="16838"/>
      <w:pgMar w:top="1361" w:right="907" w:bottom="1134" w:left="907" w:header="567" w:footer="567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2B0CE"/>
              <w:spacing w:val="28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{{document.reference}}</w:t>
          </w:r>
        </w:p>
      </w:tc>
      <w:tc>
        <w:tcPr>
          <w:tcW w:type="dxa" w:w="4440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v{{document.version}}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651"/>
      <w:gridCol w:w="4440"/>
    </w:tblGrid>
    <w:tr>
      <w:trPr>
        <w:cantSplit/>
      </w:trPr>
      <w:tc>
        <w:tcPr>
          <w:tcW w:type="dxa" w:w="5651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12B0CE"/>
              <w:spacing w:val="28"/>
              <w:sz w:val="14"/>
              <w:u w:val="none"/>
            </w:rPr>
            <w:t>COMMERCIAL IN CONFIDENCE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{{document.reference}}</w:t>
          </w:r>
        </w:p>
      </w:tc>
      <w:tc>
        <w:tcPr>
          <w:tcW w:type="dxa" w:w="4440"/>
          <w:tcBorders>
            <w:top w:val="single" w:sz="4" w:space="0" w:color="DCE3ED"/>
            <w:left w:val="nil"/>
            <w:bottom w:val="nil"/>
            <w:right w:val="nil"/>
          </w:tcBorders>
          <w:tcMar>
            <w:top w:w="70" w:type="dxa"/>
            <w:left w:w="0" w:type="dxa"/>
            <w:bottom w:w="4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Aurixa Systems    |   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t>v{{document.version}}</w:t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   |    Page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PAGE </w:instrText>
            <w:fldChar w:fldCharType="separate"/>
            <w:fldChar w:fldCharType="end"/>
          </w:r>
          <w:r>
            <w:rPr>
              <w:rFonts w:ascii="Calibri" w:hAnsi="Calibri" w:cs="Calibri" w:eastAsia="Calibri"/>
              <w:b w:val="0"/>
              <w:i w:val="0"/>
              <w:color w:val="8493A8"/>
              <w:sz w:val="14"/>
              <w:u w:val="none"/>
            </w:rPr>
            <w:t xml:space="preserve"> of </w:t>
          </w:r>
          <w:r>
            <w:rPr>
              <w:rFonts w:ascii="Calibri" w:hAnsi="Calibri" w:cs="Calibri" w:eastAsia="Calibri"/>
              <w:b/>
              <w:i w:val="0"/>
              <w:color w:val="4C5B73"/>
              <w:sz w:val="14"/>
              <w:u w:val="none"/>
            </w:rPr>
            <w:fldChar w:fldCharType="begin"/>
            <w:instrText xml:space="preserve"> NUMPAGES </w:instrText>
            <w:fldChar w:fldCharType="separate"/>
            <w:fldChar w:fldCharType="end"/>
          </w:r>
        </w:p>
      </w:tc>
    </w:tr>
  </w:tbl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/>
      <w:pageBreakBefore w:val="0"/>
      <w:widowControl w:val="1"/>
      <w:spacing w:before="0" w:after="0" w:line="20" w:lineRule="exact"/>
    </w:pPr>
    <w:r>
      <w:rPr>
        <w:sz w:val="2"/>
      </w:rPr>
    </w:r>
  </w:p>
  <w:tbl>
    <w:tblPr>
      <w:tblW w:type="auto" w:w="0"/>
      <w:jc w:val="center"/>
      <w:tblInd w:w="0" w:type="dxa"/>
      <w:tblBorders>
        <w:top w:val="nil"/>
        <w:left w:val="nil"/>
        <w:bottom w:val="nil"/>
        <w:right w:val="nil"/>
        <w:insideH w:val="nil"/>
        <w:insideV w:val="nil"/>
      </w:tblBorders>
      <w:tblLayout w:type="fixed"/>
      <w:tblLook w:firstColumn="1" w:firstRow="1" w:lastColumn="0" w:lastRow="0" w:noHBand="0" w:noVBand="1" w:val="04A0"/>
    </w:tblPr>
    <w:tblGrid>
      <w:gridCol w:w="5046"/>
      <w:gridCol w:w="5046"/>
    </w:tblGrid>
    <w:tr>
      <w:trPr>
        <w:cantSplit/>
      </w:trPr>
      <w:tc>
        <w:tcPr>
          <w:tcW w:type="dxa" w:w="5046"/>
          <w:tcBorders>
            <w:top w:val="nil"/>
            <w:left w:val="nil"/>
            <w:bottom w:val="single" w:sz="6" w:space="0" w:color="12B0CE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28"/>
              <w:sz w:val="14"/>
              <w:u w:val="none"/>
            </w:rPr>
            <w:t>Aurixa Systems</w:t>
          </w:r>
        </w:p>
      </w:tc>
      <w:tc>
        <w:tcPr>
          <w:tcW w:type="dxa" w:w="5046"/>
          <w:tcBorders>
            <w:top w:val="nil"/>
            <w:left w:val="nil"/>
            <w:bottom w:val="single" w:sz="6" w:space="0" w:color="12B0CE"/>
            <w:right w:val="nil"/>
          </w:tcBorders>
          <w:tcMar>
            <w:top w:w="0" w:type="dxa"/>
            <w:left w:w="0" w:type="dxa"/>
            <w:bottom w:w="70" w:type="dxa"/>
            <w:right w:w="0" w:type="dxa"/>
          </w:tcMar>
        </w:tcPr>
        <w:p>
          <w:pPr>
            <w:keepNext w:val="0"/>
            <w:keepLines/>
            <w:pageBreakBefore w:val="0"/>
            <w:widowControl w:val="1"/>
            <w:spacing w:before="0" w:after="0"/>
            <w:jc w:val="right"/>
          </w:pPr>
          <w:r>
            <w:rPr>
              <w:rFonts w:ascii="Calibri" w:hAnsi="Calibri" w:cs="Calibri" w:eastAsia="Calibri"/>
              <w:b/>
              <w:i w:val="0"/>
              <w:caps w:val="1"/>
              <w:color w:val="4C5B73"/>
              <w:spacing w:val="28"/>
              <w:sz w:val="14"/>
              <w:u w:val="none"/>
            </w:rPr>
            <w:t>Suburb Analysis Report</w:t>
          </w:r>
        </w:p>
      </w:tc>
    </w:tr>
  </w:tbl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 w:line="317" w:lineRule="auto"/>
    </w:pPr>
    <w:rPr>
      <w:rFonts w:ascii="Calibri" w:hAnsi="Calibri" w:cs="Calibri" w:eastAsia="Calibri"/>
      <w:color w:val="10192A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Suburb Analysis Report</dc:title>
  <dc:subject>Location-level research: demographics, supply, demand, price and rent history, infrastructure and outlook for one suburb.</dc:subject>
  <dc:creator>Aurixa Systems</dc:creator>
  <cp:keywords>Suburb analysis, Location research, Area report, Property &amp; Buyer's Agency, Aurixa</cp:keywords>
  <dc:description>Generated by the Aurixa Command Center template library (scripts/aurixa-templates). Edit the builder and regenerate rather than editing this file by hand.</dc:description>
  <cp:lastModifiedBy>Aurixa Systems</cp:lastModifiedBy>
  <cp:revision>1</cp:revision>
  <dcterms:created xsi:type="dcterms:W3CDTF">2013-12-23T23:15:00Z</dcterms:created>
  <dcterms:modified xsi:type="dcterms:W3CDTF">2013-12-23T23:15:00Z</dcterms:modified>
  <cp:category>Aurixa Command Center template</cp:category>
</cp:coreProperties>
</file>