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4"/>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8"/>
                <w:sz w:val="16"/>
                <w:u w:val="none"/>
              </w:rPr>
              <w:t>Customer due diligence — restricted</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z w:val="60"/>
                <w:u w:val="none"/>
              </w:rPr>
              <w:t>AML &amp; KYC Assessment</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Identity, beneficial ownership, screening, source of funds, risk rating and the onboarding decision.</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RESTRICTED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RETAINED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AUDITABLE</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D6FE0"/>
              <w:left w:val="single" w:sz="26" w:space="0" w:color="1D6FE0"/>
              <w:bottom w:val="single" w:sz="6" w:space="0" w:color="1D6FE0"/>
              <w:right w:val="single" w:sz="6" w:space="0" w:color="1D6FE0"/>
            </w:tcBorders>
            <w:shd w:val="clear" w:color="auto" w:fill="F2F7FE"/>
            <w:tcMar>
              <w:top w:w="162" w:type="dxa"/>
              <w:left w:w="189" w:type="dxa"/>
              <w:bottom w:w="162" w:type="dxa"/>
              <w:right w:w="189" w:type="dxa"/>
            </w:tcMar>
          </w:tcPr>
          <w:p>
            <w:pPr>
              <w:keepNext/>
              <w:keepLines/>
              <w:pageBreakBefore w:val="0"/>
              <w:widowControl w:val="1"/>
              <w:spacing w:before="0" w:after="100"/>
            </w:pPr>
            <w:r>
              <w:rPr>
                <w:rFonts w:ascii="Calibri" w:hAnsi="Calibri" w:cs="Calibri" w:eastAsia="Calibri"/>
                <w:b/>
                <w:i w:val="0"/>
                <w:caps w:val="1"/>
                <w:color w:val="1D6FE0"/>
                <w:spacing w:val="26"/>
                <w:sz w:val="15"/>
                <w:u w:val="none"/>
              </w:rPr>
              <w:t>ASSESSMENT OUTCOME</w:t>
            </w:r>
            <w:r>
              <w:rPr>
                <w:rFonts w:ascii="Calibri" w:hAnsi="Calibri" w:cs="Calibri" w:eastAsia="Calibri"/>
                <w:b/>
                <w:i w:val="0"/>
                <w:caps w:val="1"/>
                <w:color w:val="4C5B73"/>
                <w:spacing w:val="24"/>
                <w:sz w:val="14"/>
                <w:u w:val="none"/>
              </w:rPr>
              <w:t xml:space="preserve">     CONFIDENCE: MEDIUM RISK</w:t>
            </w:r>
          </w:p>
          <w:p>
            <w:pPr>
              <w:keepNext w:val="0"/>
              <w:keepLines/>
              <w:pageBreakBefore w:val="0"/>
              <w:widowControl w:val="1"/>
              <w:spacing w:before="0" w:after="120" w:line="298" w:lineRule="auto"/>
            </w:pPr>
            <w:r>
              <w:rPr>
                <w:rFonts w:ascii="Calibri" w:hAnsi="Calibri" w:cs="Calibri" w:eastAsia="Calibri"/>
                <w:b/>
                <w:i w:val="0"/>
                <w:color w:val="0C2340"/>
                <w:sz w:val="22"/>
                <w:u w:val="none"/>
              </w:rPr>
              <w:t>Accept with enhanced controls. Customer risk rating: MEDIUM.</w:t>
            </w:r>
          </w:p>
          <w:p>
            <w:pPr>
              <w:keepNext w:val="0"/>
              <w:keepLines/>
              <w:pageBreakBefore w:val="0"/>
              <w:widowControl w:val="1"/>
              <w:spacing w:before="0" w:after="0" w:line="312" w:lineRule="auto"/>
            </w:pPr>
            <w:r>
              <w:rPr>
                <w:rFonts w:ascii="Calibri" w:hAnsi="Calibri" w:cs="Calibri" w:eastAsia="Calibri"/>
                <w:b w:val="0"/>
                <w:i w:val="0"/>
                <w:color w:val="10192A"/>
                <w:sz w:val="17"/>
                <w:u w:val="none"/>
              </w:rPr>
              <w:t>Identity and beneficial ownership are fully verified against primary documents. Screening returned no sanctions or adverse media matches. One beneficial owner is a domestic politically exposed person, which triggers enhanced due diligence and senior approval under the programme.</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Next steps</w:t>
            </w:r>
          </w:p>
          <w:p>
            <w:pPr>
              <w:keepNext w:val="0"/>
              <w:keepLines/>
              <w:pageBreakBefore w:val="0"/>
              <w:widowControl w:val="1"/>
              <w:tabs>
                <w:tab w:val="left" w:pos="320"/>
              </w:tabs>
              <w:spacing w:before="0" w:after="0" w:line="312" w:lineRule="auto"/>
              <w:ind w:left="320" w:hanging="320"/>
            </w:pPr>
            <w:r>
              <w:rPr>
                <w:rFonts w:ascii="Calibri" w:hAnsi="Calibri" w:cs="Calibri" w:eastAsia="Calibri"/>
                <w:b/>
                <w:i w:val="0"/>
                <w:color w:val="1D6FE0"/>
                <w:sz w:val="19"/>
                <w:u w:val="none"/>
              </w:rPr>
              <w:t>1.</w:t>
            </w:r>
            <w:r>
              <w:rPr>
                <w:rFonts w:ascii="Calibri" w:hAnsi="Calibri" w:cs="Calibri" w:eastAsia="Calibri"/>
                <w:b w:val="0"/>
                <w:i w:val="0"/>
                <w:color w:val="10192A"/>
                <w:sz w:val="19"/>
                <w:u w:val="none"/>
              </w:rPr>
              <w:tab/>
              <w:t>Senior compliance approval obtained before onboarding (recorded below).</w:t>
            </w:r>
          </w:p>
          <w:p>
            <w:pPr>
              <w:keepNext w:val="0"/>
              <w:keepLines/>
              <w:pageBreakBefore w:val="0"/>
              <w:widowControl w:val="1"/>
              <w:tabs>
                <w:tab w:val="left" w:pos="320"/>
              </w:tabs>
              <w:spacing w:before="80" w:after="0" w:line="312" w:lineRule="auto"/>
              <w:ind w:left="320" w:hanging="320"/>
            </w:pPr>
            <w:r>
              <w:rPr>
                <w:rFonts w:ascii="Calibri" w:hAnsi="Calibri" w:cs="Calibri" w:eastAsia="Calibri"/>
                <w:b/>
                <w:i w:val="0"/>
                <w:color w:val="1D6FE0"/>
                <w:sz w:val="19"/>
                <w:u w:val="none"/>
              </w:rPr>
              <w:t>2.</w:t>
            </w:r>
            <w:r>
              <w:rPr>
                <w:rFonts w:ascii="Calibri" w:hAnsi="Calibri" w:cs="Calibri" w:eastAsia="Calibri"/>
                <w:b w:val="0"/>
                <w:i w:val="0"/>
                <w:color w:val="10192A"/>
                <w:sz w:val="19"/>
                <w:u w:val="none"/>
              </w:rPr>
              <w:tab/>
              <w:t>Source of wealth evidence obtained and retained.</w:t>
            </w:r>
          </w:p>
          <w:p>
            <w:pPr>
              <w:keepNext w:val="0"/>
              <w:keepLines/>
              <w:pageBreakBefore w:val="0"/>
              <w:widowControl w:val="1"/>
              <w:tabs>
                <w:tab w:val="left" w:pos="320"/>
              </w:tabs>
              <w:spacing w:before="80" w:after="0" w:line="312" w:lineRule="auto"/>
              <w:ind w:left="320" w:hanging="320"/>
            </w:pPr>
            <w:r>
              <w:rPr>
                <w:rFonts w:ascii="Calibri" w:hAnsi="Calibri" w:cs="Calibri" w:eastAsia="Calibri"/>
                <w:b/>
                <w:i w:val="0"/>
                <w:color w:val="1D6FE0"/>
                <w:sz w:val="19"/>
                <w:u w:val="none"/>
              </w:rPr>
              <w:t>3.</w:t>
            </w:r>
            <w:r>
              <w:rPr>
                <w:rFonts w:ascii="Calibri" w:hAnsi="Calibri" w:cs="Calibri" w:eastAsia="Calibri"/>
                <w:b w:val="0"/>
                <w:i w:val="0"/>
                <w:color w:val="10192A"/>
                <w:sz w:val="19"/>
                <w:u w:val="none"/>
              </w:rPr>
              <w:tab/>
              <w:t>Review frequency set to 12 months rather than 36.</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1D6FE0"/>
                <w:spacing w:val="26"/>
                <w:sz w:val="15"/>
                <w:u w:val="none"/>
              </w:rPr>
              <w:t>Customer</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7"/>
              <w:gridCol w:w="2890"/>
              <w:gridCol w:w="1927"/>
              <w:gridCol w:w="2890"/>
            </w:tblGrid>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Legal name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Example Holdings Pty Ltd</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Customer type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Australian proprietary company</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ACN</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600 123 456</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ABN</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12 600 123 456</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Registered address</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Level 4, 100 Sample Street, Sydney NSW 2000</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Principal activity</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Property investment</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Relationship type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Investor client</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Case reference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AML-2026-0418</w:t>
                  </w:r>
                </w:p>
              </w:tc>
            </w:tr>
          </w:tbl>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1   </w:t>
      </w:r>
      <w:r>
        <w:rPr>
          <w:rFonts w:ascii="Calibri" w:hAnsi="Calibri" w:cs="Calibri" w:eastAsia="Calibri"/>
          <w:b w:val="0"/>
          <w:i w:val="0"/>
          <w:color w:val="0C2340"/>
          <w:sz w:val="34"/>
          <w:u w:val="none"/>
        </w:rPr>
        <w:t>Identity verification</w:t>
      </w:r>
    </w:p>
    <w:p>
      <w:pPr>
        <w:keepNext/>
        <w:keepLines/>
        <w:pageBreakBefore w:val="0"/>
        <w:widowControl w:val="1"/>
        <w:spacing w:before="0" w:after="100"/>
      </w:pPr>
      <w:r>
        <w:rPr>
          <w:rFonts w:ascii="Calibri" w:hAnsi="Calibri" w:cs="Calibri" w:eastAsia="Calibri"/>
          <w:b/>
          <w:i w:val="0"/>
          <w:caps w:val="1"/>
          <w:color w:val="4C5B73"/>
          <w:spacing w:val="26"/>
          <w:sz w:val="15"/>
          <w:u w:val="none"/>
        </w:rPr>
        <w:t>Primary documents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Documents verified</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ocuments verified"/>
        <w:tblDescription w:val="Columns: Ref, Subject, Document, Number, Expiry, Method, Status"/>
      </w:tblPr>
      <w:tblGrid>
        <w:gridCol w:w="769"/>
        <w:gridCol w:w="1538"/>
        <w:gridCol w:w="2114"/>
        <w:gridCol w:w="1442"/>
        <w:gridCol w:w="1057"/>
        <w:gridCol w:w="1922"/>
        <w:gridCol w:w="1249"/>
      </w:tblGrid>
      <w:tr>
        <w:trPr>
          <w:cantSplit/>
          <w:tblHeader/>
        </w:trPr>
        <w:tc>
          <w:tcPr>
            <w:tcW w:type="dxa" w:w="76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153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Subject</w:t>
            </w:r>
          </w:p>
        </w:tc>
        <w:tc>
          <w:tcPr>
            <w:tcW w:type="dxa" w:w="211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Document</w:t>
            </w:r>
          </w:p>
        </w:tc>
        <w:tc>
          <w:tcPr>
            <w:tcW w:type="dxa" w:w="144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Number</w:t>
            </w:r>
          </w:p>
        </w:tc>
        <w:tc>
          <w:tcPr>
            <w:tcW w:type="dxa" w:w="105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Expiry</w:t>
            </w:r>
          </w:p>
        </w:tc>
        <w:tc>
          <w:tcPr>
            <w:tcW w:type="dxa" w:w="192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Method</w:t>
            </w:r>
          </w:p>
        </w:tc>
        <w:tc>
          <w:tcPr>
            <w:tcW w:type="dxa" w:w="124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7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w:t>
            </w:r>
          </w:p>
        </w:tc>
        <w:tc>
          <w:tcPr>
            <w:tcW w:type="dxa" w:w="15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211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Australian passport</w:t>
            </w:r>
          </w:p>
        </w:tc>
        <w:tc>
          <w:tcPr>
            <w:tcW w:type="dxa" w:w="14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PA1234567</w:t>
            </w:r>
          </w:p>
        </w:tc>
        <w:tc>
          <w:tcPr>
            <w:tcW w:type="dxa" w:w="1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04/2031</w:t>
            </w:r>
          </w:p>
        </w:tc>
        <w:tc>
          <w:tcPr>
            <w:tcW w:type="dxa" w:w="19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Electronic + visual</w:t>
            </w:r>
          </w:p>
        </w:tc>
        <w:tc>
          <w:tcPr>
            <w:tcW w:type="dxa" w:w="124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7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1.2</w:t>
            </w:r>
          </w:p>
        </w:tc>
        <w:tc>
          <w:tcPr>
            <w:tcW w:type="dxa" w:w="15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211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Driver licence (NSW)</w:t>
            </w:r>
          </w:p>
        </w:tc>
        <w:tc>
          <w:tcPr>
            <w:tcW w:type="dxa" w:w="14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12345678</w:t>
            </w:r>
          </w:p>
        </w:tc>
        <w:tc>
          <w:tcPr>
            <w:tcW w:type="dxa" w:w="1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09/2029</w:t>
            </w:r>
          </w:p>
        </w:tc>
        <w:tc>
          <w:tcPr>
            <w:tcW w:type="dxa" w:w="19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Electronic</w:t>
            </w:r>
          </w:p>
        </w:tc>
        <w:tc>
          <w:tcPr>
            <w:tcW w:type="dxa" w:w="124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7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1.3</w:t>
            </w:r>
          </w:p>
        </w:tc>
        <w:tc>
          <w:tcPr>
            <w:tcW w:type="dxa" w:w="15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 Nguyen</w:t>
            </w:r>
          </w:p>
        </w:tc>
        <w:tc>
          <w:tcPr>
            <w:tcW w:type="dxa" w:w="211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Australian passport</w:t>
            </w:r>
          </w:p>
        </w:tc>
        <w:tc>
          <w:tcPr>
            <w:tcW w:type="dxa" w:w="14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PB7654321</w:t>
            </w:r>
          </w:p>
        </w:tc>
        <w:tc>
          <w:tcPr>
            <w:tcW w:type="dxa" w:w="1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11/2028</w:t>
            </w:r>
          </w:p>
        </w:tc>
        <w:tc>
          <w:tcPr>
            <w:tcW w:type="dxa" w:w="19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Electronic + visual</w:t>
            </w:r>
          </w:p>
        </w:tc>
        <w:tc>
          <w:tcPr>
            <w:tcW w:type="dxa" w:w="124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7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1.4</w:t>
            </w:r>
          </w:p>
        </w:tc>
        <w:tc>
          <w:tcPr>
            <w:tcW w:type="dxa" w:w="15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Example Holdings</w:t>
            </w:r>
          </w:p>
        </w:tc>
        <w:tc>
          <w:tcPr>
            <w:tcW w:type="dxa" w:w="211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ASIC company extract</w:t>
            </w:r>
          </w:p>
        </w:tc>
        <w:tc>
          <w:tcPr>
            <w:tcW w:type="dxa" w:w="14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600123456</w:t>
            </w:r>
          </w:p>
        </w:tc>
        <w:tc>
          <w:tcPr>
            <w:tcW w:type="dxa" w:w="1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n/a</w:t>
            </w:r>
          </w:p>
        </w:tc>
        <w:tc>
          <w:tcPr>
            <w:tcW w:type="dxa" w:w="19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Registry search</w:t>
            </w:r>
          </w:p>
        </w:tc>
        <w:tc>
          <w:tcPr>
            <w:tcW w:type="dxa" w:w="124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2   </w:t>
      </w:r>
      <w:r>
        <w:rPr>
          <w:rFonts w:ascii="Calibri" w:hAnsi="Calibri" w:cs="Calibri" w:eastAsia="Calibri"/>
          <w:b w:val="0"/>
          <w:i w:val="0"/>
          <w:color w:val="0C2340"/>
          <w:sz w:val="34"/>
          <w:u w:val="none"/>
        </w:rPr>
        <w:t>Beneficial ownership</w:t>
      </w:r>
    </w:p>
    <w:p>
      <w:pPr>
        <w:keepNext/>
        <w:keepLines/>
        <w:pageBreakBefore w:val="0"/>
        <w:widowControl w:val="1"/>
        <w:spacing w:before="0" w:after="100"/>
      </w:pPr>
      <w:r>
        <w:rPr>
          <w:rFonts w:ascii="Calibri" w:hAnsi="Calibri" w:cs="Calibri" w:eastAsia="Calibri"/>
          <w:b/>
          <w:i w:val="0"/>
          <w:caps w:val="1"/>
          <w:color w:val="4C5B73"/>
          <w:spacing w:val="26"/>
          <w:sz w:val="15"/>
          <w:u w:val="none"/>
        </w:rPr>
        <w:t>25% threshold</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Owners and controllers at or above 25%</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Owners and controllers at or above 25%"/>
        <w:tblDescription w:val="Columns: Ref, Beneficial owner, Interest, Basis, Verified, Status"/>
      </w:tblPr>
      <w:tblGrid>
        <w:gridCol w:w="868"/>
        <w:gridCol w:w="2496"/>
        <w:gridCol w:w="1302"/>
        <w:gridCol w:w="2496"/>
        <w:gridCol w:w="1519"/>
        <w:gridCol w:w="1411"/>
      </w:tblGrid>
      <w:tr>
        <w:trPr>
          <w:cantSplit/>
          <w:tblHeader/>
        </w:trPr>
        <w:tc>
          <w:tcPr>
            <w:tcW w:type="dxa" w:w="86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2496"/>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Beneficial owner</w:t>
            </w:r>
          </w:p>
        </w:tc>
        <w:tc>
          <w:tcPr>
            <w:tcW w:type="dxa" w:w="130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Interest</w:t>
            </w:r>
          </w:p>
        </w:tc>
        <w:tc>
          <w:tcPr>
            <w:tcW w:type="dxa" w:w="2496"/>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Basis</w:t>
            </w:r>
          </w:p>
        </w:tc>
        <w:tc>
          <w:tcPr>
            <w:tcW w:type="dxa" w:w="151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Verified</w:t>
            </w:r>
          </w:p>
        </w:tc>
        <w:tc>
          <w:tcPr>
            <w:tcW w:type="dxa" w:w="141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w:t>
            </w:r>
          </w:p>
        </w:tc>
        <w:tc>
          <w:tcPr>
            <w:tcW w:type="dxa" w:w="249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130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60%</w:t>
            </w:r>
          </w:p>
        </w:tc>
        <w:tc>
          <w:tcPr>
            <w:tcW w:type="dxa" w:w="249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Direct shareholding</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1.1, 1.2</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w:t>
            </w:r>
          </w:p>
        </w:tc>
        <w:tc>
          <w:tcPr>
            <w:tcW w:type="dxa" w:w="249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 Nguyen</w:t>
            </w:r>
          </w:p>
        </w:tc>
        <w:tc>
          <w:tcPr>
            <w:tcW w:type="dxa" w:w="130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40%</w:t>
            </w:r>
          </w:p>
        </w:tc>
        <w:tc>
          <w:tcPr>
            <w:tcW w:type="dxa" w:w="249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Direct shareholding</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1.3</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2.3</w:t>
            </w:r>
          </w:p>
        </w:tc>
        <w:tc>
          <w:tcPr>
            <w:tcW w:type="dxa" w:w="249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130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Control</w:t>
            </w:r>
          </w:p>
        </w:tc>
        <w:tc>
          <w:tcPr>
            <w:tcW w:type="dxa" w:w="249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Sole director</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1.4</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3   </w:t>
      </w:r>
      <w:r>
        <w:rPr>
          <w:rFonts w:ascii="Calibri" w:hAnsi="Calibri" w:cs="Calibri" w:eastAsia="Calibri"/>
          <w:b w:val="0"/>
          <w:i w:val="0"/>
          <w:color w:val="0C2340"/>
          <w:sz w:val="34"/>
          <w:u w:val="none"/>
        </w:rPr>
        <w:t>Screening</w:t>
      </w:r>
    </w:p>
    <w:p>
      <w:pPr>
        <w:keepNext/>
        <w:keepLines/>
        <w:pageBreakBefore w:val="0"/>
        <w:widowControl w:val="1"/>
        <w:spacing w:before="0" w:after="100"/>
      </w:pPr>
      <w:r>
        <w:rPr>
          <w:rFonts w:ascii="Calibri" w:hAnsi="Calibri" w:cs="Calibri" w:eastAsia="Calibri"/>
          <w:b/>
          <w:i w:val="0"/>
          <w:caps w:val="1"/>
          <w:color w:val="4C5B73"/>
          <w:spacing w:val="26"/>
          <w:sz w:val="15"/>
          <w:u w:val="none"/>
        </w:rPr>
        <w:t>PEP, sanctions, adverse media</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Screening performed</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creening performed"/>
        <w:tblDescription w:val="Columns: Ref, Subject, Check, Provider, Date, Result, Status"/>
      </w:tblPr>
      <w:tblGrid>
        <w:gridCol w:w="741"/>
        <w:gridCol w:w="1481"/>
        <w:gridCol w:w="1481"/>
        <w:gridCol w:w="1574"/>
        <w:gridCol w:w="1389"/>
        <w:gridCol w:w="2222"/>
        <w:gridCol w:w="1204"/>
      </w:tblGrid>
      <w:tr>
        <w:trPr>
          <w:cantSplit/>
          <w:tblHeader/>
        </w:trPr>
        <w:tc>
          <w:tcPr>
            <w:tcW w:type="dxa" w:w="74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148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Subject</w:t>
            </w:r>
          </w:p>
        </w:tc>
        <w:tc>
          <w:tcPr>
            <w:tcW w:type="dxa" w:w="148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Check</w:t>
            </w:r>
          </w:p>
        </w:tc>
        <w:tc>
          <w:tcPr>
            <w:tcW w:type="dxa" w:w="157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Provider</w:t>
            </w:r>
          </w:p>
        </w:tc>
        <w:tc>
          <w:tcPr>
            <w:tcW w:type="dxa" w:w="138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w:t>
            </w:r>
          </w:p>
        </w:tc>
        <w:tc>
          <w:tcPr>
            <w:tcW w:type="dxa" w:w="222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Result</w:t>
            </w:r>
          </w:p>
        </w:tc>
        <w:tc>
          <w:tcPr>
            <w:tcW w:type="dxa" w:w="120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74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3.1</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Sanctions</w:t>
            </w:r>
          </w:p>
        </w:tc>
        <w:tc>
          <w:tcPr>
            <w:tcW w:type="dxa" w:w="157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8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match</w:t>
            </w:r>
          </w:p>
        </w:tc>
        <w:tc>
          <w:tcPr>
            <w:tcW w:type="dxa" w:w="1204"/>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74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3.2</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PEP</w:t>
            </w:r>
          </w:p>
        </w:tc>
        <w:tc>
          <w:tcPr>
            <w:tcW w:type="dxa" w:w="157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8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Domestic PEP — local council</w:t>
            </w:r>
          </w:p>
        </w:tc>
        <w:tc>
          <w:tcPr>
            <w:tcW w:type="dxa" w:w="1204"/>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74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3.3</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 Nguyen</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Adverse media</w:t>
            </w:r>
          </w:p>
        </w:tc>
        <w:tc>
          <w:tcPr>
            <w:tcW w:type="dxa" w:w="157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8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match</w:t>
            </w:r>
          </w:p>
        </w:tc>
        <w:tc>
          <w:tcPr>
            <w:tcW w:type="dxa" w:w="1204"/>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74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3.4</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 Nguyen</w:t>
            </w:r>
          </w:p>
        </w:tc>
        <w:tc>
          <w:tcPr>
            <w:tcW w:type="dxa" w:w="14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Sanctions / PEP / media</w:t>
            </w:r>
          </w:p>
        </w:tc>
        <w:tc>
          <w:tcPr>
            <w:tcW w:type="dxa" w:w="157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8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2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match</w:t>
            </w:r>
          </w:p>
        </w:tc>
        <w:tc>
          <w:tcPr>
            <w:tcW w:type="dxa" w:w="1204"/>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bl>
    <w:p>
      <w:pPr>
        <w:keepNext w:val="0"/>
        <w:keepLines/>
        <w:pageBreakBefore w:val="0"/>
        <w:widowControl w:val="1"/>
        <w:spacing w:before="0" w:after="0" w:line="112"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Source of funds and wealth</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ource of funds and wealth"/>
        <w:tblDescription w:val="Columns: Element, Declared, Evidence obtained, Assessment"/>
      </w:tblPr>
      <w:tblGrid>
        <w:gridCol w:w="1794"/>
        <w:gridCol w:w="3140"/>
        <w:gridCol w:w="2803"/>
        <w:gridCol w:w="2355"/>
      </w:tblGrid>
      <w:tr>
        <w:trPr>
          <w:cantSplit/>
          <w:trHeight w:val="420" w:hRule="atLeast"/>
          <w:tblHeader/>
        </w:trPr>
        <w:tc>
          <w:tcPr>
            <w:tcW w:type="dxa" w:w="179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Element</w:t>
            </w:r>
          </w:p>
        </w:tc>
        <w:tc>
          <w:tcPr>
            <w:tcW w:type="dxa" w:w="3140"/>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Declared</w:t>
            </w:r>
          </w:p>
        </w:tc>
        <w:tc>
          <w:tcPr>
            <w:tcW w:type="dxa" w:w="2803"/>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Evidence obtained</w:t>
            </w:r>
          </w:p>
        </w:tc>
        <w:tc>
          <w:tcPr>
            <w:tcW w:type="dxa" w:w="2355"/>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Assessment</w:t>
            </w:r>
          </w:p>
        </w:tc>
      </w:tr>
      <w:tr>
        <w:trPr>
          <w:cantSplit/>
          <w:trHeight w:val="397" w:hRule="atLeast"/>
        </w:trPr>
        <w:tc>
          <w:tcPr>
            <w:tcW w:type="dxa" w:w="17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Source of funds</w:t>
            </w:r>
          </w:p>
        </w:tc>
        <w:tc>
          <w:tcPr>
            <w:tcW w:type="dxa" w:w="31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Sale of prior investment property, Mar 2026</w:t>
            </w:r>
          </w:p>
        </w:tc>
        <w:tc>
          <w:tcPr>
            <w:tcW w:type="dxa" w:w="280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Settlement statement, bank statement</w:t>
            </w:r>
          </w:p>
        </w:tc>
        <w:tc>
          <w:tcPr>
            <w:tcW w:type="dxa" w:w="235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Consistent and corroborated</w:t>
            </w:r>
          </w:p>
        </w:tc>
      </w:tr>
      <w:tr>
        <w:trPr>
          <w:cantSplit/>
          <w:trHeight w:val="397" w:hRule="atLeast"/>
        </w:trPr>
        <w:tc>
          <w:tcPr>
            <w:tcW w:type="dxa" w:w="17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Source of wealth</w:t>
            </w:r>
          </w:p>
        </w:tc>
        <w:tc>
          <w:tcPr>
            <w:tcW w:type="dxa" w:w="31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Salaried employment and property investment since 2009</w:t>
            </w:r>
          </w:p>
        </w:tc>
        <w:tc>
          <w:tcPr>
            <w:tcW w:type="dxa" w:w="280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Two years tax returns, ASIC extract</w:t>
            </w:r>
          </w:p>
        </w:tc>
        <w:tc>
          <w:tcPr>
            <w:tcW w:type="dxa" w:w="235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Consistent with profile</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4   </w:t>
      </w:r>
      <w:r>
        <w:rPr>
          <w:rFonts w:ascii="Calibri" w:hAnsi="Calibri" w:cs="Calibri" w:eastAsia="Calibri"/>
          <w:b w:val="0"/>
          <w:i w:val="0"/>
          <w:color w:val="0C2340"/>
          <w:sz w:val="34"/>
          <w:u w:val="none"/>
        </w:rPr>
        <w:t>Risk rating</w:t>
      </w:r>
    </w:p>
    <w:p>
      <w:pPr>
        <w:keepNext/>
        <w:keepLines/>
        <w:pageBreakBefore w:val="0"/>
        <w:widowControl w:val="1"/>
        <w:spacing w:before="0" w:after="100"/>
      </w:pPr>
      <w:r>
        <w:rPr>
          <w:rFonts w:ascii="Calibri" w:hAnsi="Calibri" w:cs="Calibri" w:eastAsia="Calibri"/>
          <w:b/>
          <w:i w:val="0"/>
          <w:caps w:val="1"/>
          <w:color w:val="4C5B73"/>
          <w:spacing w:val="26"/>
          <w:sz w:val="15"/>
          <w:u w:val="none"/>
        </w:rPr>
        <w:t>Rating and its basis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CUSTOMER</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PRODUCT</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CHANNEL</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OVERALL</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MEDIUM</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PEP association</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LOW</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Standard advisory</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LOW</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Face to face</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MEDIUM</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Highest applies</w:t>
            </w:r>
          </w:p>
        </w:tc>
      </w:tr>
    </w:tbl>
    <w:p>
      <w:pPr>
        <w:keepNext w:val="0"/>
        <w:keepLines/>
        <w:pageBreakBefore w:val="0"/>
        <w:widowControl w:val="1"/>
        <w:spacing w:before="0" w:after="0" w:line="112"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Risk factors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 factors"/>
        <w:tblDescription w:val="Columns: Ref, Risk factor, Assessment, Weighting, Rating"/>
      </w:tblPr>
      <w:tblGrid>
        <w:gridCol w:w="868"/>
        <w:gridCol w:w="3038"/>
        <w:gridCol w:w="3255"/>
        <w:gridCol w:w="1519"/>
        <w:gridCol w:w="1411"/>
      </w:tblGrid>
      <w:tr>
        <w:trPr>
          <w:cantSplit/>
          <w:tblHeader/>
        </w:trPr>
        <w:tc>
          <w:tcPr>
            <w:tcW w:type="dxa" w:w="86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03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Risk factor</w:t>
            </w:r>
          </w:p>
        </w:tc>
        <w:tc>
          <w:tcPr>
            <w:tcW w:type="dxa" w:w="325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Assessment</w:t>
            </w:r>
          </w:p>
        </w:tc>
        <w:tc>
          <w:tcPr>
            <w:tcW w:type="dxa" w:w="151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Weighting</w:t>
            </w:r>
          </w:p>
        </w:tc>
        <w:tc>
          <w:tcPr>
            <w:tcW w:type="dxa" w:w="141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Rating</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4.1</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Customer type — proprietary company</w:t>
            </w:r>
          </w:p>
        </w:tc>
        <w:tc>
          <w:tcPr>
            <w:tcW w:type="dxa" w:w="32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Standard structure, two owners</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Standard</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Low</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4.2</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Politically exposed person</w:t>
            </w:r>
          </w:p>
        </w:tc>
        <w:tc>
          <w:tcPr>
            <w:tcW w:type="dxa" w:w="32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Domestic PEP, local government</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Elevated</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Medium</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4.3</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Geography</w:t>
            </w:r>
          </w:p>
        </w:tc>
        <w:tc>
          <w:tcPr>
            <w:tcW w:type="dxa" w:w="32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Australian resident, Australian assets</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Standard</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Low</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4.4</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Product and channel</w:t>
            </w:r>
          </w:p>
        </w:tc>
        <w:tc>
          <w:tcPr>
            <w:tcW w:type="dxa" w:w="32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Advisory service, face to face</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Standard</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Low</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4.5</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Transaction pattern</w:t>
            </w:r>
          </w:p>
        </w:tc>
        <w:tc>
          <w:tcPr>
            <w:tcW w:type="dxa" w:w="32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Consistent with declared profile</w:t>
            </w:r>
          </w:p>
        </w:tc>
        <w:tc>
          <w:tcPr>
            <w:tcW w:type="dxa" w:w="15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Standard</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Low</w:t>
            </w:r>
          </w:p>
        </w:tc>
      </w:tr>
    </w:tbl>
    <w:p>
      <w:pPr>
        <w:keepNext w:val="0"/>
        <w:keepLines/>
        <w:pageBreakBefore w:val="0"/>
        <w:widowControl w:val="1"/>
        <w:spacing w:before="0" w:after="0" w:line="112"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Enhanced due diligence (applied because the rating is medium or above)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Enhanced due diligence (applied because the rating is medium or above)"/>
        <w:tblDescription w:val="Columns: Ref, Enhanced measure, Applied, Evidence, Status"/>
      </w:tblPr>
      <w:tblGrid>
        <w:gridCol w:w="868"/>
        <w:gridCol w:w="3581"/>
        <w:gridCol w:w="1194"/>
        <w:gridCol w:w="3038"/>
        <w:gridCol w:w="1411"/>
      </w:tblGrid>
      <w:tr>
        <w:trPr>
          <w:cantSplit/>
          <w:tblHeader/>
        </w:trPr>
        <w:tc>
          <w:tcPr>
            <w:tcW w:type="dxa" w:w="86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58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Enhanced measure</w:t>
            </w:r>
          </w:p>
        </w:tc>
        <w:tc>
          <w:tcPr>
            <w:tcW w:type="dxa" w:w="119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Applied</w:t>
            </w:r>
          </w:p>
        </w:tc>
        <w:tc>
          <w:tcPr>
            <w:tcW w:type="dxa" w:w="303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Evidence</w:t>
            </w:r>
          </w:p>
        </w:tc>
        <w:tc>
          <w:tcPr>
            <w:tcW w:type="dxa" w:w="141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5.1</w:t>
            </w:r>
          </w:p>
        </w:tc>
        <w:tc>
          <w:tcPr>
            <w:tcW w:type="dxa" w:w="35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Senior management approval before onboarding</w:t>
            </w:r>
          </w:p>
        </w:tc>
        <w:tc>
          <w:tcPr>
            <w:tcW w:type="dxa" w:w="1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Approval recorded below</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5.2</w:t>
            </w:r>
          </w:p>
        </w:tc>
        <w:tc>
          <w:tcPr>
            <w:tcW w:type="dxa" w:w="35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Source of wealth established and evidenced</w:t>
            </w:r>
          </w:p>
        </w:tc>
        <w:tc>
          <w:tcPr>
            <w:tcW w:type="dxa" w:w="1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Tax returns, ASIC extract</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5.3</w:t>
            </w:r>
          </w:p>
        </w:tc>
        <w:tc>
          <w:tcPr>
            <w:tcW w:type="dxa" w:w="35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Enhanced ongoing monitoring — 12-month review</w:t>
            </w:r>
          </w:p>
        </w:tc>
        <w:tc>
          <w:tcPr>
            <w:tcW w:type="dxa" w:w="1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Review scheduled 29/07/2027</w:t>
            </w:r>
          </w:p>
        </w:tc>
        <w:tc>
          <w:tcPr>
            <w:tcW w:type="dxa" w:w="1411"/>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1D6FE0"/>
                <w:spacing w:val="26"/>
                <w:sz w:val="15"/>
                <w:u w:val="none"/>
              </w:rPr>
              <w:t>Ongoing monitoring</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7"/>
              <w:gridCol w:w="2890"/>
              <w:gridCol w:w="1927"/>
              <w:gridCol w:w="2890"/>
            </w:tblGrid>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Review frequency</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 months (enhanced)</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Next review</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29/07/2027</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Trigger events</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Change of ownership, adverse media, unusual transaction</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Monitoring owner</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Compliance officer</w:t>
                  </w:r>
                </w:p>
              </w:tc>
            </w:tr>
          </w:tbl>
          <w:p/>
        </w:tc>
      </w:tr>
    </w:tbl>
    <w:p>
      <w:pPr>
        <w:keepNext w:val="0"/>
        <w:keepLines/>
        <w:pageBreakBefore w:val="0"/>
        <w:widowControl w:val="1"/>
        <w:spacing w:before="0" w:after="0"/>
      </w:pPr>
      <w:r>
        <w:br w:type="page"/>
      </w:r>
    </w:p>
    <w:p>
      <w:pPr>
        <w:keepNext/>
        <w:keepLines/>
        <w:pageBreakBefore w:val="0"/>
        <w:widowControl w:val="1"/>
        <w:spacing w:before="0" w:after="80"/>
      </w:pPr>
      <w:r>
        <w:rPr>
          <w:rFonts w:ascii="Calibri" w:hAnsi="Calibri" w:cs="Calibri" w:eastAsia="Calibri"/>
          <w:b/>
          <w:i w:val="0"/>
          <w:caps w:val="1"/>
          <w:color w:val="4C5B73"/>
          <w:spacing w:val="26"/>
          <w:sz w:val="15"/>
          <w:u w:val="none"/>
        </w:rPr>
        <w:t>Approvals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pprovals"/>
        <w:tblDescription w:val="Columns: Role, Name, Date, Status"/>
      </w:tblPr>
      <w:tblGrid>
        <w:gridCol w:w="2865"/>
        <w:gridCol w:w="3239"/>
        <w:gridCol w:w="1869"/>
        <w:gridCol w:w="2118"/>
      </w:tblGrid>
      <w:tr>
        <w:trPr>
          <w:cantSplit/>
          <w:tblHeader/>
        </w:trPr>
        <w:tc>
          <w:tcPr>
            <w:tcW w:type="dxa" w:w="286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Role</w:t>
            </w:r>
          </w:p>
        </w:tc>
        <w:tc>
          <w:tcPr>
            <w:tcW w:type="dxa" w:w="32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Name</w:t>
            </w:r>
          </w:p>
        </w:tc>
        <w:tc>
          <w:tcPr>
            <w:tcW w:type="dxa" w:w="186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w:t>
            </w:r>
          </w:p>
        </w:tc>
        <w:tc>
          <w:tcPr>
            <w:tcW w:type="dxa" w:w="211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Assessor</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 Nguyen, Client Services</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Compliance officer</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 Patel, Compliance</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Senior management (PEP)</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 Osei, Director</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bl>
    <w:p>
      <w:pPr>
        <w:keepNext w:val="0"/>
        <w:keepLines/>
        <w:pageBreakBefore w:val="0"/>
        <w:widowControl w:val="1"/>
        <w:spacing w:before="0" w:after="0"/>
      </w:pPr>
      <w:r>
        <w:br w:type="page"/>
      </w:r>
    </w:p>
    <w:p>
      <w:pPr>
        <w:keepNext/>
        <w:keepLines/>
        <w:pageBreakBefore w:val="0"/>
        <w:widowControl w:val="1"/>
        <w:spacing w:before="0" w:after="80"/>
      </w:pPr>
      <w:r>
        <w:rPr>
          <w:rFonts w:ascii="Calibri" w:hAnsi="Calibri" w:cs="Calibri" w:eastAsia="Calibri"/>
          <w:b/>
          <w:i w:val="0"/>
          <w:caps w:val="1"/>
          <w:color w:val="1D6FE0"/>
          <w:spacing w:val="50"/>
          <w:sz w:val="15"/>
          <w:u w:val="none"/>
        </w:rPr>
        <w:t>APPENDIX A</w:t>
      </w:r>
    </w:p>
    <w:p>
      <w:pPr>
        <w:keepNext/>
        <w:keepLines/>
        <w:pageBreakBefore w:val="0"/>
        <w:widowControl w:val="1"/>
        <w:spacing w:before="0" w:after="120"/>
      </w:pPr>
      <w:r>
        <w:rPr>
          <w:rFonts w:ascii="Calibri" w:hAnsi="Calibri" w:cs="Calibri" w:eastAsia="Calibri"/>
          <w:b/>
          <w:i w:val="0"/>
          <w:color w:val="0C2340"/>
          <w:sz w:val="34"/>
          <w:u w:val="none"/>
        </w:rPr>
        <w:t>Evidence index</w:t>
      </w:r>
    </w:p>
    <w:p>
      <w:pPr>
        <w:keepNext w:val="0"/>
        <w:keepLines/>
        <w:pageBreakBefore w:val="0"/>
        <w:widowControl w:val="1"/>
        <w:pBdr>
          <w:bottom w:val="single" w:sz="10" w:space="1" w:color="1D6FE0"/>
        </w:pBdr>
        <w:spacing w:before="0" w:after="120" w:line="20" w:lineRule="exact"/>
      </w:pPr>
      <w:r>
        <w:rPr>
          <w:sz w:val="2"/>
        </w:rPr>
      </w:r>
    </w:p>
    <w:p>
      <w:pPr>
        <w:keepNext w:val="0"/>
        <w:keepLines/>
        <w:pageBreakBefore w:val="0"/>
        <w:widowControl w:val="1"/>
        <w:spacing w:before="0" w:after="0" w:line="312" w:lineRule="auto"/>
      </w:pPr>
      <w:r>
        <w:rPr>
          <w:rFonts w:ascii="Calibri" w:hAnsi="Calibri" w:cs="Calibri" w:eastAsia="Calibri"/>
          <w:b w:val="0"/>
          <w:i w:val="0"/>
          <w:color w:val="4C5B73"/>
          <w:sz w:val="19"/>
          <w:u w:val="none"/>
        </w:rPr>
        <w:t>Every document held for this assessment, with its storage reference and retention date.</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Ref, Document, Obtained, Storage reference, Retain until"/>
      </w:tblPr>
      <w:tblGrid>
        <w:gridCol w:w="887"/>
        <w:gridCol w:w="3770"/>
        <w:gridCol w:w="1553"/>
        <w:gridCol w:w="2218"/>
        <w:gridCol w:w="1663"/>
      </w:tblGrid>
      <w:tr>
        <w:trPr>
          <w:cantSplit/>
          <w:trHeight w:val="420" w:hRule="atLeast"/>
          <w:tblHeader/>
        </w:trPr>
        <w:tc>
          <w:tcPr>
            <w:tcW w:type="dxa" w:w="88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770"/>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Document</w:t>
            </w:r>
          </w:p>
        </w:tc>
        <w:tc>
          <w:tcPr>
            <w:tcW w:type="dxa" w:w="1553"/>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Obtained</w:t>
            </w:r>
          </w:p>
        </w:tc>
        <w:tc>
          <w:tcPr>
            <w:tcW w:type="dxa" w:w="2218"/>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Storage reference</w:t>
            </w:r>
          </w:p>
        </w:tc>
        <w:tc>
          <w:tcPr>
            <w:tcW w:type="dxa" w:w="1663"/>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Retain until</w:t>
            </w:r>
          </w:p>
        </w:tc>
      </w:tr>
      <w:tr>
        <w:trPr>
          <w:cantSplit/>
          <w:trHeight w:val="397" w:hRule="atLeast"/>
        </w:trPr>
        <w:tc>
          <w:tcPr>
            <w:tcW w:type="dxa" w:w="8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w:t>
            </w:r>
          </w:p>
        </w:tc>
        <w:tc>
          <w:tcPr>
            <w:tcW w:type="dxa" w:w="377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Australian passport — J. Nguyen</w:t>
            </w:r>
          </w:p>
        </w:tc>
        <w:tc>
          <w:tcPr>
            <w:tcW w:type="dxa" w:w="155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DOC-88412</w:t>
            </w:r>
          </w:p>
        </w:tc>
        <w:tc>
          <w:tcPr>
            <w:tcW w:type="dxa" w:w="166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29/07/2033</w:t>
            </w:r>
          </w:p>
        </w:tc>
      </w:tr>
      <w:tr>
        <w:trPr>
          <w:cantSplit/>
          <w:trHeight w:val="397" w:hRule="atLeast"/>
        </w:trPr>
        <w:tc>
          <w:tcPr>
            <w:tcW w:type="dxa" w:w="8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1.3</w:t>
            </w:r>
          </w:p>
        </w:tc>
        <w:tc>
          <w:tcPr>
            <w:tcW w:type="dxa" w:w="377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Australian passport — S. Nguyen</w:t>
            </w:r>
          </w:p>
        </w:tc>
        <w:tc>
          <w:tcPr>
            <w:tcW w:type="dxa" w:w="155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DOC-88413</w:t>
            </w:r>
          </w:p>
        </w:tc>
        <w:tc>
          <w:tcPr>
            <w:tcW w:type="dxa" w:w="166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29/07/2033</w:t>
            </w:r>
          </w:p>
        </w:tc>
      </w:tr>
      <w:tr>
        <w:trPr>
          <w:cantSplit/>
          <w:trHeight w:val="397" w:hRule="atLeast"/>
        </w:trPr>
        <w:tc>
          <w:tcPr>
            <w:tcW w:type="dxa" w:w="8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1.4</w:t>
            </w:r>
          </w:p>
        </w:tc>
        <w:tc>
          <w:tcPr>
            <w:tcW w:type="dxa" w:w="377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ASIC company extract</w:t>
            </w:r>
          </w:p>
        </w:tc>
        <w:tc>
          <w:tcPr>
            <w:tcW w:type="dxa" w:w="155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DOC-88414</w:t>
            </w:r>
          </w:p>
        </w:tc>
        <w:tc>
          <w:tcPr>
            <w:tcW w:type="dxa" w:w="166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29/07/2033</w:t>
            </w:r>
          </w:p>
        </w:tc>
      </w:tr>
      <w:tr>
        <w:trPr>
          <w:cantSplit/>
          <w:trHeight w:val="397" w:hRule="atLeast"/>
        </w:trPr>
        <w:tc>
          <w:tcPr>
            <w:tcW w:type="dxa" w:w="8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3.1</w:t>
            </w:r>
          </w:p>
        </w:tc>
        <w:tc>
          <w:tcPr>
            <w:tcW w:type="dxa" w:w="377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report</w:t>
            </w:r>
          </w:p>
        </w:tc>
        <w:tc>
          <w:tcPr>
            <w:tcW w:type="dxa" w:w="155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DOC-88415</w:t>
            </w:r>
          </w:p>
        </w:tc>
        <w:tc>
          <w:tcPr>
            <w:tcW w:type="dxa" w:w="166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29/07/2033</w:t>
            </w:r>
          </w:p>
        </w:tc>
      </w:tr>
      <w:tr>
        <w:trPr>
          <w:cantSplit/>
          <w:trHeight w:val="397" w:hRule="atLeast"/>
        </w:trPr>
        <w:tc>
          <w:tcPr>
            <w:tcW w:type="dxa" w:w="8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4.2</w:t>
            </w:r>
          </w:p>
        </w:tc>
        <w:tc>
          <w:tcPr>
            <w:tcW w:type="dxa" w:w="377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Source of wealth pack</w:t>
            </w:r>
          </w:p>
        </w:tc>
        <w:tc>
          <w:tcPr>
            <w:tcW w:type="dxa" w:w="155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30/07/2026</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DOC-88416</w:t>
            </w:r>
          </w:p>
        </w:tc>
        <w:tc>
          <w:tcPr>
            <w:tcW w:type="dxa" w:w="1663"/>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29/07/2033</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0C2340"/>
          <w:sz w:val="34"/>
          <w:u w:val="none"/>
        </w:rPr>
        <w:t>Important information</w:t>
      </w:r>
    </w:p>
    <w:p>
      <w:pPr>
        <w:keepNext/>
        <w:keepLines/>
        <w:pageBreakBefore w:val="0"/>
        <w:widowControl w:val="1"/>
        <w:spacing w:before="0" w:after="100"/>
      </w:pPr>
      <w:r>
        <w:rPr>
          <w:rFonts w:ascii="Calibri" w:hAnsi="Calibri" w:cs="Calibri" w:eastAsia="Calibri"/>
          <w:b/>
          <w:i w:val="0"/>
          <w:caps w:val="1"/>
          <w:color w:val="4C5B73"/>
          <w:spacing w:val="26"/>
          <w:sz w:val="15"/>
          <w:u w:val="none"/>
        </w:rPr>
        <w:t>Disclaimer, privacy and terms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12"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12"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12"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Retention</w:t>
      </w:r>
    </w:p>
    <w:p>
      <w:pPr>
        <w:keepNext w:val="0"/>
        <w:keepLines/>
        <w:pageBreakBefore w:val="0"/>
        <w:widowControl w:val="1"/>
        <w:spacing w:before="0" w:after="0" w:line="312" w:lineRule="auto"/>
      </w:pPr>
      <w:r>
        <w:rPr>
          <w:rFonts w:ascii="Calibri" w:hAnsi="Calibri" w:cs="Calibri" w:eastAsia="Calibri"/>
          <w:b w:val="0"/>
          <w:i w:val="0"/>
          <w:color w:val="4C5B73"/>
          <w:sz w:val="17"/>
          <w:u w:val="none"/>
        </w:rPr>
        <w:t>This assessment and its supporting evidence are retained for seven years from the end of the customer relationship, in accordance with the organisation's AML/CTF programme.</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Tipping off</w:t>
      </w:r>
    </w:p>
    <w:p>
      <w:pPr>
        <w:keepNext w:val="0"/>
        <w:keepLines/>
        <w:pageBreakBefore w:val="0"/>
        <w:widowControl w:val="1"/>
        <w:spacing w:before="0" w:after="0" w:line="312" w:lineRule="auto"/>
      </w:pPr>
      <w:r>
        <w:rPr>
          <w:rFonts w:ascii="Calibri" w:hAnsi="Calibri" w:cs="Calibri" w:eastAsia="Calibri"/>
          <w:b w:val="0"/>
          <w:i w:val="0"/>
          <w:color w:val="4C5B73"/>
          <w:sz w:val="17"/>
          <w:u w:val="none"/>
        </w:rPr>
        <w:t>This document may contain information the disclosure of which to the customer or a third party could constitute an offence. Do not disclose the contents outside the authorised recipients without compliance approval.</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pPr>
          <w:r>
            <w:rPr>
              <w:rFonts w:ascii="Calibri" w:hAnsi="Calibri" w:cs="Calibri" w:eastAsia="Calibri"/>
              <w:b/>
              <w:i w:val="0"/>
              <w:caps w:val="1"/>
              <w:color w:val="4C5B73"/>
              <w:spacing w:val="26"/>
              <w:sz w:val="14"/>
              <w:u w:val="none"/>
            </w:rPr>
            <w:t>Aurixa Systems</w:t>
          </w:r>
        </w:p>
      </w:tc>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jc w:val="right"/>
          </w:pPr>
          <w:r>
            <w:rPr>
              <w:rFonts w:ascii="Calibri" w:hAnsi="Calibri" w:cs="Calibri" w:eastAsia="Calibri"/>
              <w:b/>
              <w:i w:val="0"/>
              <w:caps w:val="1"/>
              <w:color w:val="4C5B73"/>
              <w:spacing w:val="26"/>
              <w:sz w:val="14"/>
              <w:u w:val="none"/>
            </w:rPr>
            <w:t>AML &amp; KYC Assessment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AML &amp; KYC Assessment</dc:title>
  <dc:subject>Customer due-diligence record: identity, beneficial ownership, PEP and sanctions screening, source of funds, risk rating and the decision.</dc:subject>
  <dc:creator>Aurixa Systems</dc:creator>
  <cp:keywords>AML, KYC, Customer due diligence, Onboarding compliance, Compliance &amp; Governance,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