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Assessed borrowing position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Borrowing Capacity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you can borrow, from whom, on what assumptions, and what would change it.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MULTI-LENDER</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Assessed capacity</w:t>
      </w:r>
    </w:p>
    <w:p>
      <w:pPr>
        <w:keepNext/>
        <w:keepLines/>
        <w:pageBreakBefore w:val="0"/>
        <w:widowControl w:val="1"/>
        <w:spacing w:before="100" w:after="0"/>
      </w:pPr>
      <w:r>
        <w:rPr>
          <w:rFonts w:ascii="Calibri" w:hAnsi="Calibri" w:cs="Calibri" w:eastAsia="Calibri"/>
          <w:b w:val="0"/>
          <w:i w:val="0"/>
          <w:color w:val="4C5B73"/>
          <w:sz w:val="15"/>
          <w:u w:val="none"/>
        </w:rPr>
        <w:t>Headline position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MAXIMUM CAPACITY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INDICATIVE PRICE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DEPOSIT REQUIRED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ASSESSMENT RATE</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$1,284,000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Highest on panel</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$1,590,000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LVR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$318,000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Plus costs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9.15%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3% buffer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What this means</w:t>
            </w:r>
          </w:p>
          <w:p>
            <w:pPr>
              <w:keepNext/>
              <w:keepLines/>
              <w:pageBreakBefore w:val="0"/>
              <w:widowControl w:val="1"/>
              <w:spacing w:before="0" w:after="120" w:line="293" w:lineRule="auto"/>
            </w:pPr>
            <w:r>
              <w:rPr>
                <w:rFonts w:ascii="Calibri" w:hAnsi="Calibri" w:cs="Calibri" w:eastAsia="Calibri"/>
                <w:b/>
                <w:i w:val="0"/>
                <w:color w:val="0C2340"/>
                <w:sz w:val="23"/>
                <w:u w:val="none"/>
              </w:rPr>
              <w:t>Your capacity varies by $214,000 across the panel — lender selection matters more than rate at your income profile.</w:t>
            </w:r>
          </w:p>
          <w:p>
            <w:pPr>
              <w:keepNext w:val="0"/>
              <w:keepLines/>
              <w:pageBreakBefore w:val="0"/>
              <w:widowControl w:val="1"/>
              <w:spacing w:before="0" w:after="0" w:line="307" w:lineRule="auto"/>
            </w:pPr>
            <w:r>
              <w:rPr>
                <w:rFonts w:ascii="Calibri" w:hAnsi="Calibri" w:cs="Calibri" w:eastAsia="Calibri"/>
                <w:b w:val="0"/>
                <w:i w:val="0"/>
                <w:color w:val="10192A"/>
                <w:sz w:val="19"/>
                <w:u w:val="none"/>
              </w:rPr>
              <w:t>Assessed capacity ranges from $1,070,000 to $1,284,000 depending on how each lender treats your rental income and your existing credit card limits. The spread is driven almost entirely by rental shading policy: lenders applying 80% shading assess $34,000 less annual income than those applying 90%.</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Reducing your credit card limits from $28,000 to $10,000 would add approximately $96,000 to capacity at every lender on the panel, because limits are assessed at 3.8% of the limit regardless of the balance drawn.</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Inputs</w:t>
      </w:r>
    </w:p>
    <w:p>
      <w:pPr>
        <w:keepNext/>
        <w:keepLines/>
        <w:pageBreakBefore w:val="0"/>
        <w:widowControl w:val="1"/>
        <w:spacing w:before="100" w:after="0"/>
      </w:pPr>
      <w:r>
        <w:rPr>
          <w:rFonts w:ascii="Calibri" w:hAnsi="Calibri" w:cs="Calibri" w:eastAsia="Calibri"/>
          <w:b w:val="0"/>
          <w:i w:val="0"/>
          <w:color w:val="4C5B73"/>
          <w:sz w:val="15"/>
          <w:u w:val="none"/>
        </w:rPr>
        <w:t>What the assessment is built 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Income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come"/>
        <w:tblDescription w:val="Columns: Applicant, Income type, Gross annual, Shading, Assessed"/>
      </w:tblPr>
      <w:tblGrid>
        <w:gridCol w:w="1995"/>
        <w:gridCol w:w="3051"/>
        <w:gridCol w:w="1877"/>
        <w:gridCol w:w="1291"/>
        <w:gridCol w:w="1877"/>
      </w:tblGrid>
      <w:tr>
        <w:trPr>
          <w:cantSplit/>
          <w:trHeight w:val="420" w:hRule="atLeast"/>
          <w:tblHeader/>
        </w:trPr>
        <w:tc>
          <w:tcPr>
            <w:tcW w:type="dxa" w:w="199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Applicant</w:t>
            </w:r>
          </w:p>
        </w:tc>
        <w:tc>
          <w:tcPr>
            <w:tcW w:type="dxa" w:w="30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Income type</w:t>
            </w:r>
          </w:p>
        </w:tc>
        <w:tc>
          <w:tcPr>
            <w:tcW w:type="dxa" w:w="187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Gross annual</w:t>
            </w:r>
          </w:p>
        </w:tc>
        <w:tc>
          <w:tcPr>
            <w:tcW w:type="dxa" w:w="129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Shading</w:t>
            </w:r>
          </w:p>
        </w:tc>
        <w:tc>
          <w:tcPr>
            <w:tcW w:type="dxa" w:w="187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Assessed</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1</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PAYG base salary</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$142,000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$142,000</w:t>
            </w:r>
          </w:p>
        </w:tc>
      </w:tr>
      <w:tr>
        <w:trPr>
          <w:cantSplit/>
          <w:trHeight w:val="397" w:hRule="atLeast"/>
        </w:trPr>
        <w:tc>
          <w:tcPr>
            <w:tcW w:type="dxa" w:w="199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1</w:t>
            </w:r>
          </w:p>
        </w:tc>
        <w:tc>
          <w:tcPr>
            <w:tcW w:type="dxa" w:w="30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(2-year average)</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$18,000</w:t>
            </w:r>
          </w:p>
        </w:tc>
        <w:tc>
          <w:tcPr>
            <w:tcW w:type="dxa" w:w="129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$14,400</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2</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PAYG base salary</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$98,000</w:t>
            </w:r>
          </w:p>
        </w:tc>
      </w:tr>
      <w:tr>
        <w:trPr>
          <w:cantSplit/>
          <w:trHeight w:val="397" w:hRule="atLeast"/>
        </w:trPr>
        <w:tc>
          <w:tcPr>
            <w:tcW w:type="dxa" w:w="199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w:t>
            </w:r>
          </w:p>
        </w:tc>
        <w:tc>
          <w:tcPr>
            <w:tcW w:type="dxa" w:w="30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 4 Example St</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$31,200</w:t>
            </w:r>
          </w:p>
        </w:tc>
        <w:tc>
          <w:tcPr>
            <w:tcW w:type="dxa" w:w="129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$24,960</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 12 Sample Ave</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$28,600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$22,880</w:t>
            </w:r>
          </w:p>
        </w:tc>
      </w:tr>
      <w:tr>
        <w:trPr>
          <w:cantSplit/>
          <w:trHeight w:val="397" w:hRule="atLeast"/>
        </w:trPr>
        <w:tc>
          <w:tcPr>
            <w:tcW w:type="dxa" w:w="199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assessed income</w:t>
            </w:r>
          </w:p>
        </w:tc>
        <w:tc>
          <w:tcPr>
            <w:tcW w:type="dxa" w:w="305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87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$317,800</w:t>
            </w:r>
          </w:p>
        </w:tc>
        <w:tc>
          <w:tcPr>
            <w:tcW w:type="dxa" w:w="129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87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$302,240</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Commitments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mitments"/>
        <w:tblDescription w:val="Columns: Commitment, Lender, Limit / balance, Actual, Assessed"/>
      </w:tblPr>
      <w:tblGrid>
        <w:gridCol w:w="3096"/>
        <w:gridCol w:w="1720"/>
        <w:gridCol w:w="1949"/>
        <w:gridCol w:w="1605"/>
        <w:gridCol w:w="1720"/>
      </w:tblGrid>
      <w:tr>
        <w:trPr>
          <w:cantSplit/>
          <w:trHeight w:val="420" w:hRule="atLeast"/>
          <w:tblHeader/>
        </w:trPr>
        <w:tc>
          <w:tcPr>
            <w:tcW w:type="dxa" w:w="309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Commitment</w:t>
            </w:r>
          </w:p>
        </w:tc>
        <w:tc>
          <w:tcPr>
            <w:tcW w:type="dxa" w:w="17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94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 / balance</w:t>
            </w:r>
          </w:p>
        </w:tc>
        <w:tc>
          <w:tcPr>
            <w:tcW w:type="dxa" w:w="160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Actual</w:t>
            </w:r>
          </w:p>
        </w:tc>
        <w:tc>
          <w:tcPr>
            <w:tcW w:type="dxa" w:w="17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Assessed</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loan — 4 Example St</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$412,000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$2,310/mo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$3,140/mo</w:t>
            </w:r>
          </w:p>
        </w:tc>
      </w:tr>
      <w:tr>
        <w:trPr>
          <w:cantSplit/>
          <w:trHeight w:val="397" w:hRule="atLeast"/>
        </w:trPr>
        <w:tc>
          <w:tcPr>
            <w:tcW w:type="dxa" w:w="3096"/>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loan — 12 Sample Ave</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9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$389,000</w:t>
            </w:r>
          </w:p>
        </w:tc>
        <w:tc>
          <w:tcPr>
            <w:tcW w:type="dxa" w:w="160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$2,180/mo</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$2,965/mo</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$18,000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$684/mo</w:t>
            </w:r>
          </w:p>
        </w:tc>
      </w:tr>
      <w:tr>
        <w:trPr>
          <w:cantSplit/>
          <w:trHeight w:val="397" w:hRule="atLeast"/>
        </w:trPr>
        <w:tc>
          <w:tcPr>
            <w:tcW w:type="dxa" w:w="3096"/>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9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$10,000</w:t>
            </w:r>
          </w:p>
        </w:tc>
        <w:tc>
          <w:tcPr>
            <w:tcW w:type="dxa" w:w="160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$0/mo</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$380/mo</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 loan</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$24,400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$610/mo</w:t>
            </w:r>
          </w:p>
        </w:tc>
      </w:tr>
      <w:tr>
        <w:trPr>
          <w:cantSplit/>
          <w:trHeight w:val="397" w:hRule="atLeast"/>
        </w:trPr>
        <w:tc>
          <w:tcPr>
            <w:tcW w:type="dxa" w:w="3096"/>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assessed commitments</w:t>
            </w:r>
          </w:p>
        </w:tc>
        <w:tc>
          <w:tcPr>
            <w:tcW w:type="dxa" w:w="17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949"/>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60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7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$7,779/mo</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Credit card limits are assessed at 3.8% of the limit each month whether or not the card is drawn.</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Assessment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9.15% (product rate + 3.00% buffer)</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Living expenses basis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Higher of declared and HEM</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Declared expenses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$5,840/month</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HEM benchmark</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$6,120/month — applied</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shading</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 unless stated</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Bonus shading</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 two-year average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date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31/07/2026</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Dependants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w:t>
                  </w:r>
                </w:p>
              </w:tc>
            </w:tr>
          </w:tbl>
          <w:p/>
          <w:p>
            <w:pPr>
              <w:keepNext w:val="0"/>
              <w:keepLines/>
              <w:pageBreakBefore w:val="0"/>
              <w:widowControl w:val="1"/>
              <w:spacing w:before="120" w:after="0"/>
            </w:pPr>
            <w:r>
              <w:rPr>
                <w:rFonts w:ascii="Calibri" w:hAnsi="Calibri" w:cs="Calibri" w:eastAsia="Calibri"/>
                <w:b w:val="0"/>
                <w:i/>
                <w:color w:val="8493A8"/>
                <w:sz w:val="14"/>
                <w:u w:val="none"/>
              </w:rPr>
              <w:t>Assessment rates and policies change frequently. This assessment is indicative only and is not an approval or an offer of credit.</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Lender comparison</w:t>
      </w:r>
    </w:p>
    <w:p>
      <w:pPr>
        <w:keepNext/>
        <w:keepLines/>
        <w:pageBreakBefore w:val="0"/>
        <w:widowControl w:val="1"/>
        <w:spacing w:before="100" w:after="0"/>
      </w:pPr>
      <w:r>
        <w:rPr>
          <w:rFonts w:ascii="Calibri" w:hAnsi="Calibri" w:cs="Calibri" w:eastAsia="Calibri"/>
          <w:b w:val="0"/>
          <w:i w:val="0"/>
          <w:color w:val="4C5B73"/>
          <w:sz w:val="15"/>
          <w:u w:val="none"/>
        </w:rPr>
        <w:t>Where capacity differs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Assessed capacity by lender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A</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$1,284,000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B</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61"/>
              <w:gridCol w:w="290"/>
            </w:tblGrid>
            <w:tr>
              <w:trPr>
                <w:cantSplit/>
              </w:trPr>
              <w:tc>
                <w:tcPr>
                  <w:tcW w:type="dxa" w:w="5361"/>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9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$1,218,000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C</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083"/>
              <w:gridCol w:w="568"/>
            </w:tblGrid>
            <w:tr>
              <w:trPr>
                <w:cantSplit/>
              </w:trPr>
              <w:tc>
                <w:tcPr>
                  <w:tcW w:type="dxa" w:w="5083"/>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6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$1,155,000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806"/>
              <w:gridCol w:w="845"/>
            </w:tblGrid>
            <w:tr>
              <w:trPr>
                <w:cantSplit/>
              </w:trPr>
              <w:tc>
                <w:tcPr>
                  <w:tcW w:type="dxa" w:w="4806"/>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84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$1,092,000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Lender 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709"/>
              <w:gridCol w:w="942"/>
            </w:tblGrid>
            <w:tr>
              <w:trPr>
                <w:cantSplit/>
              </w:trPr>
              <w:tc>
                <w:tcPr>
                  <w:tcW w:type="dxa" w:w="4709"/>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42"/>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$1,070,000</w:t>
            </w:r>
          </w:p>
        </w:tc>
      </w:tr>
    </w:tbl>
    <w:p>
      <w:pPr>
        <w:keepNext w:val="0"/>
        <w:keepLines/>
        <w:pageBreakBefore w:val="0"/>
        <w:widowControl w:val="1"/>
        <w:spacing w:before="80" w:after="0"/>
      </w:pPr>
      <w:r>
        <w:rPr>
          <w:rFonts w:ascii="Calibri" w:hAnsi="Calibri" w:cs="Calibri" w:eastAsia="Calibri"/>
          <w:b w:val="0"/>
          <w:i/>
          <w:color w:val="8493A8"/>
          <w:sz w:val="14"/>
          <w:u w:val="none"/>
        </w:rPr>
        <w:t>Capacity is the maximum loan each lender's calculator returns on the inputs above. It is not an approval.</w:t>
      </w:r>
    </w:p>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Lender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detail"/>
        <w:tblDescription w:val="Columns: Lender, Capacity, Assessment rate, Rental shading, Policy note"/>
      </w:tblPr>
      <w:tblGrid>
        <w:gridCol w:w="1570"/>
        <w:gridCol w:w="1794"/>
        <w:gridCol w:w="1794"/>
        <w:gridCol w:w="1570"/>
        <w:gridCol w:w="3364"/>
      </w:tblGrid>
      <w:tr>
        <w:trPr>
          <w:cantSplit/>
          <w:trHeight w:val="420" w:hRule="atLeast"/>
          <w:tblHeader/>
        </w:trPr>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Capacity</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 rate</w:t>
            </w:r>
          </w:p>
        </w:tc>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Rental shading</w:t>
            </w:r>
          </w:p>
        </w:tc>
        <w:tc>
          <w:tcPr>
            <w:tcW w:type="dxa" w:w="336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Policy note</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Lender A</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$1,284,000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8.95%</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90%</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Accepts bonus at 80% over 2 years</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$1,218,000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9.10%</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85%</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Adds 15% to declared expenses</w:t>
            </w:r>
          </w:p>
        </w:tc>
      </w:tr>
      <w:tr>
        <w:trPr>
          <w:cantSplit/>
          <w:trHeight w:val="397" w:hRule="atLeast"/>
        </w:trPr>
        <w:tc>
          <w:tcPr>
            <w:tcW w:type="dxa" w:w="157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$1,155,000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9.15%</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336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Assesses cards at 3.8% of limit</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$1,092,000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9.40%</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Shades bonus to 50%</w:t>
            </w:r>
          </w:p>
        </w:tc>
      </w:tr>
      <w:tr>
        <w:trPr>
          <w:cantSplit/>
          <w:trHeight w:val="397" w:hRule="atLeast"/>
        </w:trPr>
        <w:tc>
          <w:tcPr>
            <w:tcW w:type="dxa" w:w="157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E</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$1,070,000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9.55%</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75%</w:t>
            </w:r>
          </w:p>
        </w:tc>
        <w:tc>
          <w:tcPr>
            <w:tcW w:type="dxa" w:w="336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Does not accept bonus income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Sensitivity</w:t>
      </w:r>
    </w:p>
    <w:p>
      <w:pPr>
        <w:keepNext/>
        <w:keepLines/>
        <w:pageBreakBefore w:val="0"/>
        <w:widowControl w:val="1"/>
        <w:spacing w:before="100" w:after="0"/>
      </w:pPr>
      <w:r>
        <w:rPr>
          <w:rFonts w:ascii="Calibri" w:hAnsi="Calibri" w:cs="Calibri" w:eastAsia="Calibri"/>
          <w:b w:val="0"/>
          <w:i w:val="0"/>
          <w:color w:val="4C5B73"/>
          <w:sz w:val="15"/>
          <w:u w:val="none"/>
        </w:rPr>
        <w:t>What changes the answer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Capacity under stress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apacity under stress"/>
        <w:tblDescription w:val="Compares: Base case, Rate +1%, Rate +2%, Income −10%"/>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 case</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+1%</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+2%</w:t>
            </w:r>
          </w:p>
        </w:tc>
        <w:tc>
          <w:tcPr>
            <w:tcW w:type="dxa" w:w="1867"/>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Income −10%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Assessed capacity</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$1,284,000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$1,168,000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$1,064,000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$1,142,000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Indicative price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$1,590,000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$1,455,000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$1,330,000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$1,418,000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Change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−$116,000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−$220,000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−$142,000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Deposit required</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$318,000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$291,000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$266,000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$284,000</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What would improve capacity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Reduce credit card limits from $28,000 to $10,000 — adds approximately $96,000.</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Clear the car loan balance of $24,400 — adds approximately $71,000.</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a third year of bonus history — adds approximately $34,000 at Lender A.</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Increase the rental appraisal evidence on 12 Sample Avenue — adds approximately $18,000 where shading is 90%.</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4C5B73"/>
                <w:spacing w:val="24"/>
                <w:sz w:val="15"/>
                <w:u w:val="none"/>
              </w:rPr>
              <w:t>Important</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This report is an indicative assessment of borrowing capacity. It is not credit assistance, an application, a pre-approval or an offer of credit. Lender policies, assessment rates and benchmarks change without notice and each lender will form its own view on a full application.</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Borrowing Capacity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Borrowing Capacity Report</dc:title>
  <dc:subject>Assessed borrowing capacity across lenders, with the inputs, the assessment-rate treatment and the sensitivity that produced it.</dc:subject>
  <dc:creator>Aurixa Systems</dc:creator>
  <cp:keywords>Borrowing capacity, Serviceability, Pre-approval position,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