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2"/>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6"/>
                <w:sz w:val="16"/>
                <w:u w:val="none"/>
              </w:rPr>
              <w:t>Ten-year projection</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4"/>
                <w:sz w:val="60"/>
                <w:u w:val="none"/>
              </w:rPr>
              <w:t>Cash-Flow &amp; Net Position Report</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What this asset costs or returns, year by year, after tax — with the assumptions that produced it and the sensitivity around them.</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10 YEARS</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AFTER TAX</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STRESS-TESTED</w:t>
                  </w:r>
                </w:p>
              </w:tc>
            </w:tr>
          </w:tbl>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01  </w:t>
      </w:r>
      <w:r>
        <w:rPr>
          <w:rFonts w:ascii="Calibri" w:hAnsi="Calibri" w:cs="Calibri" w:eastAsia="Calibri"/>
          <w:b/>
          <w:i w:val="0"/>
          <w:caps w:val="1"/>
          <w:color w:val="0C2340"/>
          <w:spacing w:val="14"/>
          <w:sz w:val="25"/>
          <w:u w:val="none"/>
        </w:rPr>
        <w:t>Position summary</w:t>
      </w:r>
    </w:p>
    <w:p>
      <w:pPr>
        <w:keepNext/>
        <w:keepLines/>
        <w:pageBreakBefore w:val="0"/>
        <w:widowControl w:val="1"/>
        <w:spacing w:before="100" w:after="0"/>
      </w:pPr>
      <w:r>
        <w:rPr>
          <w:rFonts w:ascii="Calibri" w:hAnsi="Calibri" w:cs="Calibri" w:eastAsia="Calibri"/>
          <w:b w:val="0"/>
          <w:i w:val="0"/>
          <w:color w:val="4C5B73"/>
          <w:sz w:val="15"/>
          <w:u w:val="none"/>
        </w:rPr>
        <w:t>Headline outcome</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YEAR 1 NET</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10-YEAR CUMULATIVE</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BREAK-EVEN YEAR</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WEEKLY COST, YEAR 1</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-$4,368</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After tax, per year</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$68,420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Nominal, after tax</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Year 6</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Cash-flow positive</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$84</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After tax</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58" w:type="dxa"/>
              <w:left w:w="184" w:type="dxa"/>
              <w:bottom w:w="158" w:type="dxa"/>
              <w:right w:w="184" w:type="dxa"/>
            </w:tcMar>
          </w:tcPr>
          <w:p>
            <w:pPr>
              <w:keepNext/>
              <w:keepLines/>
              <w:pageBreakBefore w:val="0"/>
              <w:widowControl w:val="1"/>
              <w:spacing w:before="0" w:after="80"/>
            </w:pPr>
            <w:r>
              <w:rPr>
                <w:rFonts w:ascii="Calibri" w:hAnsi="Calibri" w:cs="Calibri" w:eastAsia="Calibri"/>
                <w:b/>
                <w:i w:val="0"/>
                <w:caps w:val="1"/>
                <w:color w:val="1D6FE0"/>
                <w:spacing w:val="24"/>
                <w:sz w:val="15"/>
                <w:u w:val="none"/>
              </w:rPr>
              <w:t>What this means</w:t>
            </w:r>
          </w:p>
          <w:p>
            <w:pPr>
              <w:keepNext/>
              <w:keepLines/>
              <w:pageBreakBefore w:val="0"/>
              <w:widowControl w:val="1"/>
              <w:spacing w:before="0" w:after="120" w:line="293" w:lineRule="auto"/>
            </w:pPr>
            <w:r>
              <w:rPr>
                <w:rFonts w:ascii="Calibri" w:hAnsi="Calibri" w:cs="Calibri" w:eastAsia="Calibri"/>
                <w:b/>
                <w:i w:val="0"/>
                <w:color w:val="0C2340"/>
                <w:sz w:val="23"/>
                <w:u w:val="none"/>
              </w:rPr>
              <w:t>The property costs $84 a week after tax in year one and turns cash-flow positive in year six.</w:t>
            </w:r>
          </w:p>
          <w:p>
            <w:pPr>
              <w:keepNext w:val="0"/>
              <w:keepLines/>
              <w:pageBreakBefore w:val="0"/>
              <w:widowControl w:val="1"/>
              <w:spacing w:before="0" w:after="0" w:line="307" w:lineRule="auto"/>
            </w:pPr>
            <w:r>
              <w:rPr>
                <w:rFonts w:ascii="Calibri" w:hAnsi="Calibri" w:cs="Calibri" w:eastAsia="Calibri"/>
                <w:b w:val="0"/>
                <w:i w:val="0"/>
                <w:color w:val="10192A"/>
                <w:sz w:val="19"/>
                <w:u w:val="none"/>
              </w:rPr>
              <w:t>On the assumptions in section two, the property runs at a small after-tax deficit for the first five years and is cash-flow positive from year six. Cumulative after-tax cash flow over ten years is positive at $68,420, before any capital growth.</w:t>
            </w:r>
          </w:p>
          <w:p>
            <w:pPr>
              <w:keepNext w:val="0"/>
              <w:keepLines/>
              <w:pageBreakBefore w:val="0"/>
              <w:widowControl w:val="1"/>
              <w:spacing w:before="100" w:after="0" w:line="307" w:lineRule="auto"/>
            </w:pPr>
            <w:r>
              <w:rPr>
                <w:rFonts w:ascii="Calibri" w:hAnsi="Calibri" w:cs="Calibri" w:eastAsia="Calibri"/>
                <w:b w:val="0"/>
                <w:i w:val="0"/>
                <w:color w:val="10192A"/>
                <w:sz w:val="19"/>
                <w:u w:val="none"/>
              </w:rPr>
              <w:t>The projection is most sensitive to the interest rate. A sustained two percentage point rise moves the year-one weekly cost from $84 to $214 and pushes break-even from year six to year nine.</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02  </w:t>
      </w:r>
      <w:r>
        <w:rPr>
          <w:rFonts w:ascii="Calibri" w:hAnsi="Calibri" w:cs="Calibri" w:eastAsia="Calibri"/>
          <w:b/>
          <w:i w:val="0"/>
          <w:caps w:val="1"/>
          <w:color w:val="0C2340"/>
          <w:spacing w:val="14"/>
          <w:sz w:val="25"/>
          <w:u w:val="none"/>
        </w:rPr>
        <w:t>Assumptions</w:t>
      </w:r>
    </w:p>
    <w:p>
      <w:pPr>
        <w:keepNext/>
        <w:keepLines/>
        <w:pageBreakBefore w:val="0"/>
        <w:widowControl w:val="1"/>
        <w:spacing w:before="100" w:after="0"/>
      </w:pPr>
      <w:r>
        <w:rPr>
          <w:rFonts w:ascii="Calibri" w:hAnsi="Calibri" w:cs="Calibri" w:eastAsia="Calibri"/>
          <w:b w:val="0"/>
          <w:i w:val="0"/>
          <w:color w:val="4C5B73"/>
          <w:sz w:val="15"/>
          <w:u w:val="none"/>
        </w:rPr>
        <w:t>Every input, with its basis</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3061" w:hRule="atLeast"/>
        </w:trPr>
        <w:tc>
          <w:tcPr>
            <w:tcW w:type="dxa" w:w="10091"/>
            <w:tcBorders>
              <w:top w:val="single" w:sz="4" w:space="0" w:color="C2CDDC"/>
              <w:left w:val="single" w:sz="4" w:space="0" w:color="C2CDDC"/>
              <w:bottom w:val="single" w:sz="4" w:space="0" w:color="C2CDDC"/>
              <w:right w:val="single" w:sz="4" w:space="0" w:color="C2CDDC"/>
            </w:tcBorders>
            <w:shd w:val="clear" w:color="auto" w:fill="F7F9FC"/>
            <w:tcMar>
              <w:top w:w="150" w:type="dxa"/>
              <w:left w:w="180" w:type="dxa"/>
              <w:bottom w:w="150" w:type="dxa"/>
              <w:right w:w="180" w:type="dxa"/>
            </w:tcMar>
            <w:vAlign w:val="center"/>
          </w:tcPr>
          <w:p>
            <w:pPr>
              <w:keepNext w:val="0"/>
              <w:keepLines/>
              <w:pageBreakBefore w:val="0"/>
              <w:widowControl w:val="1"/>
              <w:spacing w:before="0" w:after="60"/>
              <w:jc w:val="center"/>
            </w:pPr>
            <w:r>
              <w:rPr>
                <w:rFonts w:ascii="Calibri" w:hAnsi="Calibri" w:cs="Calibri" w:eastAsia="Calibri"/>
                <w:b/>
                <w:i w:val="0"/>
                <w:color w:val="0C2340"/>
                <w:sz w:val="18"/>
                <w:u w:val="none"/>
              </w:rPr>
              <w:t>Cumulative after-tax net position</w:t>
            </w:r>
          </w:p>
          <w:p>
            <w:pPr>
              <w:keepNext w:val="0"/>
              <w:keepLines/>
              <w:pageBreakBefore w:val="0"/>
              <w:widowControl w:val="1"/>
              <w:spacing w:before="0" w:after="60"/>
              <w:jc w:val="center"/>
            </w:pPr>
            <w:r>
              <w:rPr>
                <w:rFonts w:ascii="Calibri" w:hAnsi="Calibri" w:cs="Calibri" w:eastAsia="Calibri"/>
                <w:b/>
                <w:i w:val="0"/>
                <w:caps w:val="1"/>
                <w:color w:val="1D6FE0"/>
                <w:spacing w:val="36"/>
                <w:sz w:val="15"/>
                <w:u w:val="none"/>
              </w:rPr>
              <w:t>[  LINE CHART  ]</w:t>
            </w:r>
          </w:p>
          <w:p>
            <w:pPr>
              <w:keepNext/>
              <w:keepLines/>
              <w:pageBreakBefore w:val="0"/>
              <w:widowControl w:val="1"/>
              <w:spacing w:before="0" w:after="0"/>
              <w:jc w:val="center"/>
            </w:pPr>
            <w:r>
              <w:rPr>
                <w:rFonts w:ascii="Consolas" w:hAnsi="Consolas" w:cs="Consolas" w:eastAsia="Consolas"/>
                <w:b w:val="0"/>
                <w:i w:val="0"/>
                <w:color w:val="8493A8"/>
                <w:sz w:val="14"/>
                <w:u w:val="none"/>
              </w:rPr>
              <w:t>{{cashflow.series}}</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Ten years, nominal   ·   Source: Aurixa cash-flow model   ·   Alt text: Cumulative after-tax position crosses zero during year six and reaches $68,420 by year ten</w:t>
      </w:r>
    </w:p>
    <w:p>
      <w:pPr>
        <w:keepNext w:val="0"/>
        <w:keepLines/>
        <w:pageBreakBefore w:val="0"/>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58" w:type="dxa"/>
              <w:left w:w="184" w:type="dxa"/>
              <w:bottom w:w="158" w:type="dxa"/>
              <w:right w:w="184" w:type="dxa"/>
            </w:tcMar>
          </w:tcPr>
          <w:p>
            <w:pPr>
              <w:keepNext/>
              <w:keepLines/>
              <w:pageBreakBefore w:val="0"/>
              <w:widowControl w:val="1"/>
              <w:spacing w:before="0" w:after="80"/>
            </w:pPr>
            <w:r>
              <w:rPr>
                <w:rFonts w:ascii="Calibri" w:hAnsi="Calibri" w:cs="Calibri" w:eastAsia="Calibri"/>
                <w:b/>
                <w:i w:val="0"/>
                <w:caps w:val="1"/>
                <w:color w:val="1D6FE0"/>
                <w:spacing w:val="24"/>
                <w:sz w:val="15"/>
                <w:u w:val="none"/>
              </w:rPr>
              <w:t>Projection assumptions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9"/>
              <w:gridCol w:w="2893"/>
              <w:gridCol w:w="1929"/>
              <w:gridCol w:w="2893"/>
            </w:tblGrid>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Purchase price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$865,000</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Loan amount</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$692,000 (80% LVR)</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Interest rate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6.40%, interest only 5 years</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Capital growth</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4.5% p.a. — 10-year suburb average</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Starting rent</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$765 per week — appraised</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Rental growth</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3.0% p.a.</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Vacancy allowance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 weeks per year</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Management fee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6.9% incl. GST</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Expense inflation</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2.5% p.a.</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Marginal tax rate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39% incl. Medicare levy</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Depreciation</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Quantity surveyor schedule</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Ownership</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Joint, 50/50</w:t>
                  </w:r>
                </w:p>
              </w:tc>
            </w:tr>
          </w:tbl>
          <w:p/>
          <w:p>
            <w:pPr>
              <w:keepNext w:val="0"/>
              <w:keepLines/>
              <w:pageBreakBefore w:val="0"/>
              <w:widowControl w:val="1"/>
              <w:spacing w:before="120" w:after="0"/>
            </w:pPr>
            <w:r>
              <w:rPr>
                <w:rFonts w:ascii="Calibri" w:hAnsi="Calibri" w:cs="Calibri" w:eastAsia="Calibri"/>
                <w:b w:val="0"/>
                <w:i/>
                <w:color w:val="8493A8"/>
                <w:sz w:val="14"/>
                <w:u w:val="none"/>
              </w:rPr>
              <w:t>Projections are not forecasts. Every figure that follows depends on these assumptions holding, and none of them will hold exactly.</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3288" w:hRule="atLeast"/>
        </w:trPr>
        <w:tc>
          <w:tcPr>
            <w:tcW w:type="dxa" w:w="10091"/>
            <w:tcBorders>
              <w:top w:val="single" w:sz="4" w:space="0" w:color="C2CDDC"/>
              <w:left w:val="single" w:sz="4" w:space="0" w:color="C2CDDC"/>
              <w:bottom w:val="single" w:sz="4" w:space="0" w:color="C2CDDC"/>
              <w:right w:val="single" w:sz="4" w:space="0" w:color="C2CDDC"/>
            </w:tcBorders>
            <w:shd w:val="clear" w:color="auto" w:fill="F7F9FC"/>
            <w:tcMar>
              <w:top w:w="150" w:type="dxa"/>
              <w:left w:w="180" w:type="dxa"/>
              <w:bottom w:w="150" w:type="dxa"/>
              <w:right w:w="180" w:type="dxa"/>
            </w:tcMar>
            <w:vAlign w:val="center"/>
          </w:tcPr>
          <w:p>
            <w:pPr>
              <w:keepNext w:val="0"/>
              <w:keepLines/>
              <w:pageBreakBefore w:val="0"/>
              <w:widowControl w:val="1"/>
              <w:spacing w:before="0" w:after="60"/>
              <w:jc w:val="center"/>
            </w:pPr>
            <w:r>
              <w:rPr>
                <w:rFonts w:ascii="Calibri" w:hAnsi="Calibri" w:cs="Calibri" w:eastAsia="Calibri"/>
                <w:b/>
                <w:i w:val="0"/>
                <w:color w:val="0C2340"/>
                <w:sz w:val="18"/>
                <w:u w:val="none"/>
              </w:rPr>
              <w:t>Cumulative after-tax net position</w:t>
            </w:r>
          </w:p>
          <w:p>
            <w:pPr>
              <w:keepNext w:val="0"/>
              <w:keepLines/>
              <w:pageBreakBefore w:val="0"/>
              <w:widowControl w:val="1"/>
              <w:spacing w:before="0" w:after="60"/>
              <w:jc w:val="center"/>
            </w:pPr>
            <w:r>
              <w:rPr>
                <w:rFonts w:ascii="Calibri" w:hAnsi="Calibri" w:cs="Calibri" w:eastAsia="Calibri"/>
                <w:b/>
                <w:i w:val="0"/>
                <w:caps w:val="1"/>
                <w:color w:val="1D6FE0"/>
                <w:spacing w:val="36"/>
                <w:sz w:val="15"/>
                <w:u w:val="none"/>
              </w:rPr>
              <w:t>[  LINE CHART  ]</w:t>
            </w:r>
          </w:p>
          <w:p>
            <w:pPr>
              <w:keepNext/>
              <w:keepLines/>
              <w:pageBreakBefore w:val="0"/>
              <w:widowControl w:val="1"/>
              <w:spacing w:before="0" w:after="0"/>
              <w:jc w:val="center"/>
            </w:pPr>
            <w:r>
              <w:rPr>
                <w:rFonts w:ascii="Consolas" w:hAnsi="Consolas" w:cs="Consolas" w:eastAsia="Consolas"/>
                <w:b w:val="0"/>
                <w:i w:val="0"/>
                <w:color w:val="8493A8"/>
                <w:sz w:val="14"/>
                <w:u w:val="none"/>
              </w:rPr>
              <w:t>{{cashflow.series}}</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Ten years, nominal   ·   Source: Aurixa cash-flow model   ·   Alt text: Cumulative after-tax position crosses zero during year six and reaches $68,420 by year ten</w:t>
      </w:r>
    </w:p>
    <w:p>
      <w:pPr>
        <w:sectPr>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pP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03  </w:t>
      </w:r>
      <w:r>
        <w:rPr>
          <w:rFonts w:ascii="Calibri" w:hAnsi="Calibri" w:cs="Calibri" w:eastAsia="Calibri"/>
          <w:b/>
          <w:i w:val="0"/>
          <w:caps w:val="1"/>
          <w:color w:val="0C2340"/>
          <w:spacing w:val="14"/>
          <w:sz w:val="25"/>
          <w:u w:val="none"/>
        </w:rPr>
        <w:t>Year-by-year projection</w:t>
      </w:r>
    </w:p>
    <w:p>
      <w:pPr>
        <w:keepNext/>
        <w:keepLines/>
        <w:pageBreakBefore w:val="0"/>
        <w:widowControl w:val="1"/>
        <w:spacing w:before="100" w:after="0"/>
      </w:pPr>
      <w:r>
        <w:rPr>
          <w:rFonts w:ascii="Calibri" w:hAnsi="Calibri" w:cs="Calibri" w:eastAsia="Calibri"/>
          <w:b w:val="0"/>
          <w:i w:val="0"/>
          <w:color w:val="4C5B73"/>
          <w:sz w:val="15"/>
          <w:u w:val="none"/>
        </w:rPr>
        <w:t>The model output</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Ten-year after-tax cash flow</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Ten-year after-tax cash flow"/>
        <w:tblDescription w:val="Columns: Year, Rent, Vacancy, Expenses, Interest, Pre-tax, Deprec., Taxable, Tax effect, After tax, Cumulative"/>
      </w:tblPr>
      <w:tblGrid>
        <w:gridCol w:w="904"/>
        <w:gridCol w:w="1468"/>
        <w:gridCol w:w="1356"/>
        <w:gridCol w:w="1468"/>
        <w:gridCol w:w="1468"/>
        <w:gridCol w:w="1356"/>
        <w:gridCol w:w="1356"/>
        <w:gridCol w:w="1356"/>
        <w:gridCol w:w="1412"/>
        <w:gridCol w:w="1412"/>
        <w:gridCol w:w="1468"/>
      </w:tblGrid>
      <w:tr>
        <w:trPr>
          <w:cantSplit/>
          <w:trHeight w:val="420" w:hRule="atLeast"/>
          <w:tblHeader/>
        </w:trPr>
        <w:tc>
          <w:tcPr>
            <w:tcW w:type="dxa" w:w="90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Year</w:t>
            </w:r>
          </w:p>
        </w:tc>
        <w:tc>
          <w:tcPr>
            <w:tcW w:type="dxa" w:w="146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Rent</w:t>
            </w:r>
          </w:p>
        </w:tc>
        <w:tc>
          <w:tcPr>
            <w:tcW w:type="dxa" w:w="1356"/>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Vacancy</w:t>
            </w:r>
          </w:p>
        </w:tc>
        <w:tc>
          <w:tcPr>
            <w:tcW w:type="dxa" w:w="146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Expenses</w:t>
            </w:r>
          </w:p>
        </w:tc>
        <w:tc>
          <w:tcPr>
            <w:tcW w:type="dxa" w:w="146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Interest</w:t>
            </w:r>
          </w:p>
        </w:tc>
        <w:tc>
          <w:tcPr>
            <w:tcW w:type="dxa" w:w="1356"/>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Pre-tax</w:t>
            </w:r>
          </w:p>
        </w:tc>
        <w:tc>
          <w:tcPr>
            <w:tcW w:type="dxa" w:w="1356"/>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Deprec.</w:t>
            </w:r>
          </w:p>
        </w:tc>
        <w:tc>
          <w:tcPr>
            <w:tcW w:type="dxa" w:w="1356"/>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Taxable</w:t>
            </w:r>
          </w:p>
        </w:tc>
        <w:tc>
          <w:tcPr>
            <w:tcW w:type="dxa" w:w="1412"/>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Tax effect</w:t>
            </w:r>
          </w:p>
        </w:tc>
        <w:tc>
          <w:tcPr>
            <w:tcW w:type="dxa" w:w="1412"/>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After tax</w:t>
            </w:r>
          </w:p>
        </w:tc>
        <w:tc>
          <w:tcPr>
            <w:tcW w:type="dxa" w:w="146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Cumulative</w:t>
            </w:r>
          </w:p>
        </w:tc>
      </w:tr>
      <w:tr>
        <w:trPr>
          <w:cantSplit/>
          <w:trHeight w:val="397" w:hRule="atLeast"/>
        </w:trPr>
        <w:tc>
          <w:tcPr>
            <w:tcW w:type="dxa" w:w="90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$39,780</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-$1,530</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-$9,215</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-$44,288</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-$15,253</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-$11,400</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-$26,653</w:t>
            </w:r>
          </w:p>
        </w:tc>
        <w:tc>
          <w:tcPr>
            <w:tcW w:type="dxa" w:w="141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$10,395</w:t>
            </w:r>
          </w:p>
        </w:tc>
        <w:tc>
          <w:tcPr>
            <w:tcW w:type="dxa" w:w="141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-$4,858</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-$4,858</w:t>
            </w:r>
          </w:p>
        </w:tc>
      </w:tr>
      <w:tr>
        <w:trPr>
          <w:cantSplit/>
          <w:trHeight w:val="397" w:hRule="atLeast"/>
        </w:trPr>
        <w:tc>
          <w:tcPr>
            <w:tcW w:type="dxa" w:w="904"/>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$40,973</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-$1,576</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-$9,445</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-$44,288</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-$14,336</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-$9,800</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-$24,136</w:t>
            </w:r>
          </w:p>
        </w:tc>
        <w:tc>
          <w:tcPr>
            <w:tcW w:type="dxa" w:w="141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$9,413</w:t>
            </w:r>
          </w:p>
        </w:tc>
        <w:tc>
          <w:tcPr>
            <w:tcW w:type="dxa" w:w="141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-$4,923</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-$9,781</w:t>
            </w:r>
          </w:p>
        </w:tc>
      </w:tr>
      <w:tr>
        <w:trPr>
          <w:cantSplit/>
          <w:trHeight w:val="397" w:hRule="atLeast"/>
        </w:trPr>
        <w:tc>
          <w:tcPr>
            <w:tcW w:type="dxa" w:w="90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$42,202</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-$1,623</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-$9,682</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-$44,288</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-$13,391</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-$8,600</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-$21,991</w:t>
            </w:r>
          </w:p>
        </w:tc>
        <w:tc>
          <w:tcPr>
            <w:tcW w:type="dxa" w:w="141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$8,576</w:t>
            </w:r>
          </w:p>
        </w:tc>
        <w:tc>
          <w:tcPr>
            <w:tcW w:type="dxa" w:w="141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-$4,815</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-$14,596</w:t>
            </w:r>
          </w:p>
        </w:tc>
      </w:tr>
      <w:tr>
        <w:trPr>
          <w:cantSplit/>
          <w:trHeight w:val="397" w:hRule="atLeast"/>
        </w:trPr>
        <w:tc>
          <w:tcPr>
            <w:tcW w:type="dxa" w:w="904"/>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$43,468</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-$1,672</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-$9,924</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-$44,288</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-$12,416</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-$7,700</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-$20,116</w:t>
            </w:r>
          </w:p>
        </w:tc>
        <w:tc>
          <w:tcPr>
            <w:tcW w:type="dxa" w:w="141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$7,845</w:t>
            </w:r>
          </w:p>
        </w:tc>
        <w:tc>
          <w:tcPr>
            <w:tcW w:type="dxa" w:w="141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-$4,571</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-$19,167</w:t>
            </w:r>
          </w:p>
        </w:tc>
      </w:tr>
      <w:tr>
        <w:trPr>
          <w:cantSplit/>
          <w:trHeight w:val="397" w:hRule="atLeast"/>
        </w:trPr>
        <w:tc>
          <w:tcPr>
            <w:tcW w:type="dxa" w:w="90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$44,772</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-$1,722</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-$10,172</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-$44,288</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-$11,410</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-$7,000</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-$18,410</w:t>
            </w:r>
          </w:p>
        </w:tc>
        <w:tc>
          <w:tcPr>
            <w:tcW w:type="dxa" w:w="141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$7,180</w:t>
            </w:r>
          </w:p>
        </w:tc>
        <w:tc>
          <w:tcPr>
            <w:tcW w:type="dxa" w:w="141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-$4,230</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-$23,397</w:t>
            </w:r>
          </w:p>
        </w:tc>
      </w:tr>
      <w:tr>
        <w:trPr>
          <w:cantSplit/>
          <w:trHeight w:val="397" w:hRule="atLeast"/>
        </w:trPr>
        <w:tc>
          <w:tcPr>
            <w:tcW w:type="dxa" w:w="904"/>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$46,115</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-$1,774</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-$10,426</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-$42,104</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-$8,189</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-$6,400</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-$14,589</w:t>
            </w:r>
          </w:p>
        </w:tc>
        <w:tc>
          <w:tcPr>
            <w:tcW w:type="dxa" w:w="141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$5,690</w:t>
            </w:r>
          </w:p>
        </w:tc>
        <w:tc>
          <w:tcPr>
            <w:tcW w:type="dxa" w:w="141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-$2,499</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-$25,896</w:t>
            </w:r>
          </w:p>
        </w:tc>
      </w:tr>
      <w:tr>
        <w:trPr>
          <w:cantSplit/>
          <w:trHeight w:val="397" w:hRule="atLeast"/>
        </w:trPr>
        <w:tc>
          <w:tcPr>
            <w:tcW w:type="dxa" w:w="90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7</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$47,499</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-$1,827</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-$10,687</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-$40,982</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-$5,997</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-$5,900</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-$11,897</w:t>
            </w:r>
          </w:p>
        </w:tc>
        <w:tc>
          <w:tcPr>
            <w:tcW w:type="dxa" w:w="141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$4,640</w:t>
            </w:r>
          </w:p>
        </w:tc>
        <w:tc>
          <w:tcPr>
            <w:tcW w:type="dxa" w:w="141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-$1,357</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-$27,253</w:t>
            </w:r>
          </w:p>
        </w:tc>
      </w:tr>
      <w:tr>
        <w:trPr>
          <w:cantSplit/>
          <w:trHeight w:val="397" w:hRule="atLeast"/>
        </w:trPr>
        <w:tc>
          <w:tcPr>
            <w:tcW w:type="dxa" w:w="904"/>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8</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$48,924</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-$1,882</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-$10,954</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-$39,798</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-$3,710</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-$5,500</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-$9,210</w:t>
            </w:r>
          </w:p>
        </w:tc>
        <w:tc>
          <w:tcPr>
            <w:tcW w:type="dxa" w:w="141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$3,592</w:t>
            </w:r>
          </w:p>
        </w:tc>
        <w:tc>
          <w:tcPr>
            <w:tcW w:type="dxa" w:w="141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-$118</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-$27,371</w:t>
            </w:r>
          </w:p>
        </w:tc>
      </w:tr>
      <w:tr>
        <w:trPr>
          <w:cantSplit/>
          <w:trHeight w:val="397" w:hRule="atLeast"/>
        </w:trPr>
        <w:tc>
          <w:tcPr>
            <w:tcW w:type="dxa" w:w="90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9</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$50,392</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-$1,938</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-$11,228</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-$38,549</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-$1,323</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-$5,100</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-$6,423</w:t>
            </w:r>
          </w:p>
        </w:tc>
        <w:tc>
          <w:tcPr>
            <w:tcW w:type="dxa" w:w="141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$2,505</w:t>
            </w:r>
          </w:p>
        </w:tc>
        <w:tc>
          <w:tcPr>
            <w:tcW w:type="dxa" w:w="141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$1,182</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-$26,189</w:t>
            </w:r>
          </w:p>
        </w:tc>
      </w:tr>
      <w:tr>
        <w:trPr>
          <w:cantSplit/>
          <w:trHeight w:val="397" w:hRule="atLeast"/>
        </w:trPr>
        <w:tc>
          <w:tcPr>
            <w:tcW w:type="dxa" w:w="904"/>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10</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$51,904</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-$1,996</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-$11,509</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-$37,232</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$1,167</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-$4,800</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-$3,633</w:t>
            </w:r>
          </w:p>
        </w:tc>
        <w:tc>
          <w:tcPr>
            <w:tcW w:type="dxa" w:w="141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$1,417</w:t>
            </w:r>
          </w:p>
        </w:tc>
        <w:tc>
          <w:tcPr>
            <w:tcW w:type="dxa" w:w="141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$2,584</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-$23,605</w:t>
            </w:r>
          </w:p>
        </w:tc>
      </w:tr>
      <w:tr>
        <w:trPr>
          <w:cantSplit/>
          <w:trHeight w:val="397" w:hRule="atLeast"/>
        </w:trPr>
        <w:tc>
          <w:tcPr>
            <w:tcW w:type="dxa" w:w="904"/>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Total</w:t>
            </w:r>
          </w:p>
        </w:tc>
        <w:tc>
          <w:tcPr>
            <w:tcW w:type="dxa" w:w="1468"/>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$456,029</w:t>
            </w:r>
          </w:p>
        </w:tc>
        <w:tc>
          <w:tcPr>
            <w:tcW w:type="dxa" w:w="1356"/>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-$17,540</w:t>
            </w:r>
          </w:p>
        </w:tc>
        <w:tc>
          <w:tcPr>
            <w:tcW w:type="dxa" w:w="1468"/>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-$103,242</w:t>
            </w:r>
          </w:p>
        </w:tc>
        <w:tc>
          <w:tcPr>
            <w:tcW w:type="dxa" w:w="1468"/>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-$420,105</w:t>
            </w:r>
          </w:p>
        </w:tc>
        <w:tc>
          <w:tcPr>
            <w:tcW w:type="dxa" w:w="1356"/>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-$84,858</w:t>
            </w:r>
          </w:p>
        </w:tc>
        <w:tc>
          <w:tcPr>
            <w:tcW w:type="dxa" w:w="1356"/>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-$72,200</w:t>
            </w:r>
          </w:p>
        </w:tc>
        <w:tc>
          <w:tcPr>
            <w:tcW w:type="dxa" w:w="1356"/>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-$157,058</w:t>
            </w:r>
          </w:p>
        </w:tc>
        <w:tc>
          <w:tcPr>
            <w:tcW w:type="dxa" w:w="1412"/>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$61,253</w:t>
            </w:r>
          </w:p>
        </w:tc>
        <w:tc>
          <w:tcPr>
            <w:tcW w:type="dxa" w:w="1412"/>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-$23,605</w:t>
            </w:r>
          </w:p>
        </w:tc>
        <w:tc>
          <w:tcPr>
            <w:tcW w:type="dxa" w:w="1468"/>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Negative figures are outflows. 'Tax effect' is the reduction in tax payable from the taxable loss at the stated marginal rate; it is a benefit only to the extent there is other income to offset.</w:t>
      </w:r>
    </w:p>
    <w:p>
      <w:pPr>
        <w:sectPr>
          <w:headerReference w:type="default" r:id="rId13"/>
          <w:footerReference w:type="default" r:id="rId14"/>
          <w:pgSz w:w="16838" w:h="11906" w:orient="landscape"/>
          <w:pgMar w:top="1134" w:right="907" w:bottom="964" w:left="907" w:header="567" w:footer="567" w:gutter="0"/>
          <w:cols w:space="720"/>
          <w:docGrid w:linePitch="360"/>
        </w:sectPr>
      </w:pP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04  </w:t>
      </w:r>
      <w:r>
        <w:rPr>
          <w:rFonts w:ascii="Calibri" w:hAnsi="Calibri" w:cs="Calibri" w:eastAsia="Calibri"/>
          <w:b/>
          <w:i w:val="0"/>
          <w:caps w:val="1"/>
          <w:color w:val="0C2340"/>
          <w:spacing w:val="14"/>
          <w:sz w:val="25"/>
          <w:u w:val="none"/>
        </w:rPr>
        <w:t>Expense breakdown</w:t>
      </w:r>
    </w:p>
    <w:p>
      <w:pPr>
        <w:keepNext/>
        <w:keepLines/>
        <w:pageBreakBefore w:val="0"/>
        <w:widowControl w:val="1"/>
        <w:spacing w:before="100" w:after="0"/>
      </w:pPr>
      <w:r>
        <w:rPr>
          <w:rFonts w:ascii="Calibri" w:hAnsi="Calibri" w:cs="Calibri" w:eastAsia="Calibri"/>
          <w:b w:val="0"/>
          <w:i w:val="0"/>
          <w:color w:val="4C5B73"/>
          <w:sz w:val="15"/>
          <w:u w:val="none"/>
        </w:rPr>
        <w:t>Where year one goes</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Year-one expenses by category</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26"/>
        <w:gridCol w:w="5651"/>
        <w:gridCol w:w="1615"/>
      </w:tblGrid>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Loan interest</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34"/>
            </w:tblGrid>
            <w:tr>
              <w:trPr>
                <w:cantSplit/>
              </w:trPr>
              <w:tc>
                <w:tcPr>
                  <w:tcW w:type="dxa" w:w="5651"/>
                  <w:shd w:val="clear" w:color="auto" w:fill="0C234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34"/>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jc w:val="right"/>
            </w:pPr>
            <w:r>
              <w:rPr>
                <w:rFonts w:ascii="Consolas" w:hAnsi="Consolas" w:cs="Consolas" w:eastAsia="Consolas"/>
                <w:b/>
                <w:i w:val="0"/>
                <w:color w:val="0C2340"/>
                <w:sz w:val="17"/>
                <w:u w:val="none"/>
              </w:rPr>
              <w:t>$44,288</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Property management</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350"/>
              <w:gridCol w:w="5301"/>
            </w:tblGrid>
            <w:tr>
              <w:trPr>
                <w:cantSplit/>
              </w:trPr>
              <w:tc>
                <w:tcPr>
                  <w:tcW w:type="dxa" w:w="350"/>
                  <w:shd w:val="clear" w:color="auto" w:fill="1D6FE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5301"/>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jc w:val="right"/>
            </w:pPr>
            <w:r>
              <w:rPr>
                <w:rFonts w:ascii="Consolas" w:hAnsi="Consolas" w:cs="Consolas" w:eastAsia="Consolas"/>
                <w:b/>
                <w:i w:val="0"/>
                <w:color w:val="0C2340"/>
                <w:sz w:val="17"/>
                <w:u w:val="none"/>
              </w:rPr>
              <w:t>$2,745</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Council rates</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273"/>
              <w:gridCol w:w="5378"/>
            </w:tblGrid>
            <w:tr>
              <w:trPr>
                <w:cantSplit/>
              </w:trPr>
              <w:tc>
                <w:tcPr>
                  <w:tcW w:type="dxa" w:w="273"/>
                  <w:shd w:val="clear" w:color="auto" w:fill="12B0CE"/>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5378"/>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jc w:val="right"/>
            </w:pPr>
            <w:r>
              <w:rPr>
                <w:rFonts w:ascii="Consolas" w:hAnsi="Consolas" w:cs="Consolas" w:eastAsia="Consolas"/>
                <w:b/>
                <w:i w:val="0"/>
                <w:color w:val="0C2340"/>
                <w:sz w:val="17"/>
                <w:u w:val="none"/>
              </w:rPr>
              <w:t>$2,140</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Insurance</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211"/>
              <w:gridCol w:w="5441"/>
            </w:tblGrid>
            <w:tr>
              <w:trPr>
                <w:cantSplit/>
              </w:trPr>
              <w:tc>
                <w:tcPr>
                  <w:tcW w:type="dxa" w:w="211"/>
                  <w:shd w:val="clear" w:color="auto" w:fill="5B96EB"/>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5441"/>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jc w:val="right"/>
            </w:pPr>
            <w:r>
              <w:rPr>
                <w:rFonts w:ascii="Consolas" w:hAnsi="Consolas" w:cs="Consolas" w:eastAsia="Consolas"/>
                <w:b/>
                <w:i w:val="0"/>
                <w:color w:val="0C2340"/>
                <w:sz w:val="17"/>
                <w:u w:val="none"/>
              </w:rPr>
              <w:t>$1,650</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Repairs allowance</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91"/>
              <w:gridCol w:w="5460"/>
            </w:tblGrid>
            <w:tr>
              <w:trPr>
                <w:cantSplit/>
              </w:trPr>
              <w:tc>
                <w:tcPr>
                  <w:tcW w:type="dxa" w:w="191"/>
                  <w:shd w:val="clear" w:color="auto" w:fill="0E8AA3"/>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5460"/>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jc w:val="right"/>
            </w:pPr>
            <w:r>
              <w:rPr>
                <w:rFonts w:ascii="Consolas" w:hAnsi="Consolas" w:cs="Consolas" w:eastAsia="Consolas"/>
                <w:b/>
                <w:i w:val="0"/>
                <w:color w:val="0C2340"/>
                <w:sz w:val="17"/>
                <w:u w:val="none"/>
              </w:rPr>
              <w:t>$1,500</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Water and sewer</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51"/>
              <w:gridCol w:w="5501"/>
            </w:tblGrid>
            <w:tr>
              <w:trPr>
                <w:cantSplit/>
              </w:trPr>
              <w:tc>
                <w:tcPr>
                  <w:tcW w:type="dxa" w:w="151"/>
                  <w:shd w:val="clear" w:color="auto" w:fill="24507E"/>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5501"/>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jc w:val="right"/>
            </w:pPr>
            <w:r>
              <w:rPr>
                <w:rFonts w:ascii="Consolas" w:hAnsi="Consolas" w:cs="Consolas" w:eastAsia="Consolas"/>
                <w:b/>
                <w:i w:val="0"/>
                <w:color w:val="0C2340"/>
                <w:sz w:val="17"/>
                <w:u w:val="none"/>
              </w:rPr>
              <w:t>$1,180</w:t>
            </w:r>
          </w:p>
        </w:tc>
      </w:tr>
    </w:tbl>
    <w:p>
      <w:pPr>
        <w:keepNext w:val="0"/>
        <w:keepLines/>
        <w:pageBreakBefore w:val="0"/>
        <w:widowControl w:val="1"/>
        <w:spacing w:before="80" w:after="0"/>
      </w:pPr>
      <w:r>
        <w:rPr>
          <w:rFonts w:ascii="Calibri" w:hAnsi="Calibri" w:cs="Calibri" w:eastAsia="Calibri"/>
          <w:b w:val="0"/>
          <w:i/>
          <w:color w:val="8493A8"/>
          <w:sz w:val="14"/>
          <w:u w:val="none"/>
        </w:rPr>
        <w:t>Interest is 82% of year-one outgoings, which is why the projection is more sensitive to rates than to anything else.</w:t>
      </w:r>
    </w:p>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05  </w:t>
      </w:r>
      <w:r>
        <w:rPr>
          <w:rFonts w:ascii="Calibri" w:hAnsi="Calibri" w:cs="Calibri" w:eastAsia="Calibri"/>
          <w:b/>
          <w:i w:val="0"/>
          <w:caps w:val="1"/>
          <w:color w:val="0C2340"/>
          <w:spacing w:val="14"/>
          <w:sz w:val="25"/>
          <w:u w:val="none"/>
        </w:rPr>
        <w:t>Sensitivity</w:t>
      </w:r>
    </w:p>
    <w:p>
      <w:pPr>
        <w:keepNext/>
        <w:keepLines/>
        <w:pageBreakBefore w:val="0"/>
        <w:widowControl w:val="1"/>
        <w:spacing w:before="100" w:after="0"/>
      </w:pPr>
      <w:r>
        <w:rPr>
          <w:rFonts w:ascii="Calibri" w:hAnsi="Calibri" w:cs="Calibri" w:eastAsia="Calibri"/>
          <w:b w:val="0"/>
          <w:i w:val="0"/>
          <w:color w:val="4C5B73"/>
          <w:sz w:val="15"/>
          <w:u w:val="none"/>
        </w:rPr>
        <w:t>What changes the answer</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After-tax position under stress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fter-tax position under stress"/>
        <w:tblDescription w:val="Compares: Base, Rate +1%, Rate +2%, Vacancy 6 wks, Rent -10%"/>
      </w:tblPr>
      <w:tblGrid>
        <w:gridCol w:w="2624"/>
        <w:gridCol w:w="1494"/>
        <w:gridCol w:w="1494"/>
        <w:gridCol w:w="1494"/>
        <w:gridCol w:w="1494"/>
        <w:gridCol w:w="1494"/>
      </w:tblGrid>
      <w:tr>
        <w:trPr>
          <w:cantSplit/>
          <w:trHeight w:val="510" w:hRule="atLeast"/>
          <w:tblHeader/>
        </w:trPr>
        <w:tc>
          <w:tcPr>
            <w:tcW w:type="dxa" w:w="2624"/>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pPr>
          </w:p>
        </w:tc>
        <w:tc>
          <w:tcPr>
            <w:tcW w:type="dxa" w:w="1494"/>
            <w:tcBorders>
              <w:top w:val="nil"/>
              <w:left w:val="nil"/>
              <w:bottom w:val="single" w:sz="8" w:space="0" w:color="1D6FE0"/>
              <w:right w:val="single" w:sz="16" w:space="0" w:color="FFFFFF"/>
            </w:tcBorders>
            <w:shd w:val="clear" w:color="auto" w:fill="1D6FE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Base</w:t>
            </w:r>
          </w:p>
        </w:tc>
        <w:tc>
          <w:tcPr>
            <w:tcW w:type="dxa" w:w="1494"/>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Rate +1%</w:t>
            </w:r>
          </w:p>
        </w:tc>
        <w:tc>
          <w:tcPr>
            <w:tcW w:type="dxa" w:w="1494"/>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Rate +2%</w:t>
            </w:r>
          </w:p>
        </w:tc>
        <w:tc>
          <w:tcPr>
            <w:tcW w:type="dxa" w:w="1494"/>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Vacancy 6 wks</w:t>
            </w:r>
          </w:p>
        </w:tc>
        <w:tc>
          <w:tcPr>
            <w:tcW w:type="dxa" w:w="1494"/>
            <w:tcBorders>
              <w:top w:val="nil"/>
              <w:left w:val="nil"/>
              <w:bottom w:val="single" w:sz="8" w:space="0" w:color="1D6FE0"/>
              <w:right w:val="nil"/>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Rent -10%</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Year-1 after tax</w:t>
            </w:r>
          </w:p>
        </w:tc>
        <w:tc>
          <w:tcPr>
            <w:tcW w:type="dxa" w:w="1494"/>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-$4,858</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-$9,077</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-$13,296</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-$7,655</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-$7,285</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Year-1 weekly</w:t>
            </w:r>
          </w:p>
        </w:tc>
        <w:tc>
          <w:tcPr>
            <w:tcW w:type="dxa" w:w="1494"/>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-$93</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-$175</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-$256</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-$147</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-$140</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Break-even year</w:t>
            </w:r>
          </w:p>
        </w:tc>
        <w:tc>
          <w:tcPr>
            <w:tcW w:type="dxa" w:w="1494"/>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Year 6</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Year 8</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Year 9</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Year 7</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Year 8</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10-year cumulative</w:t>
            </w:r>
          </w:p>
        </w:tc>
        <w:tc>
          <w:tcPr>
            <w:tcW w:type="dxa" w:w="1494"/>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-$23,605</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-$58,420</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-$93,235</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-$41,180</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-$52,940</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158" w:type="dxa"/>
              <w:left w:w="184" w:type="dxa"/>
              <w:bottom w:w="158" w:type="dxa"/>
              <w:right w:w="184" w:type="dxa"/>
            </w:tcMar>
          </w:tcPr>
          <w:p>
            <w:pPr>
              <w:keepNext/>
              <w:keepLines/>
              <w:pageBreakBefore w:val="0"/>
              <w:widowControl w:val="1"/>
              <w:spacing w:before="0" w:after="80"/>
            </w:pPr>
            <w:r>
              <w:rPr>
                <w:rFonts w:ascii="Calibri" w:hAnsi="Calibri" w:cs="Calibri" w:eastAsia="Calibri"/>
                <w:b/>
                <w:i w:val="0"/>
                <w:caps w:val="1"/>
                <w:color w:val="4C5B73"/>
                <w:spacing w:val="24"/>
                <w:sz w:val="15"/>
                <w:u w:val="none"/>
              </w:rPr>
              <w:t>Read this alongside the projection</w:t>
            </w:r>
          </w:p>
          <w:p>
            <w:pPr>
              <w:keepNext w:val="0"/>
              <w:keepLines/>
              <w:pageBreakBefore w:val="0"/>
              <w:widowControl w:val="1"/>
              <w:spacing w:before="0" w:after="0" w:line="307" w:lineRule="auto"/>
            </w:pPr>
            <w:r>
              <w:rPr>
                <w:rFonts w:ascii="Calibri" w:hAnsi="Calibri" w:cs="Calibri" w:eastAsia="Calibri"/>
                <w:b w:val="0"/>
                <w:i w:val="0"/>
                <w:color w:val="10192A"/>
                <w:sz w:val="17"/>
                <w:u w:val="none"/>
              </w:rPr>
              <w:t>This is a projection on stated assumptions, not a forecast. It excludes capital growth, which is the return most investors are actually buying, and it excludes selling costs and capital gains tax. It is not tax advice; the depreciation and tax figures should be confirmed with the client's accountant against their whole position.</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aps w:val="1"/>
          <w:color w:val="0C2340"/>
          <w:spacing w:val="14"/>
          <w:sz w:val="25"/>
          <w:u w:val="none"/>
        </w:rPr>
        <w:t>Important information</w:t>
      </w:r>
    </w:p>
    <w:p>
      <w:pPr>
        <w:keepNext/>
        <w:keepLines/>
        <w:pageBreakBefore w:val="0"/>
        <w:widowControl w:val="1"/>
        <w:spacing w:before="100" w:after="0"/>
      </w:pPr>
      <w:r>
        <w:rPr>
          <w:rFonts w:ascii="Calibri" w:hAnsi="Calibri" w:cs="Calibri" w:eastAsia="Calibri"/>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07"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07"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07"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default" r:id="rId15"/>
      <w:footerReference w:type="default" r:id="rId16"/>
      <w:pgSz w:w="11906" w:h="16838"/>
      <w:pgMar w:top="1361" w:right="907" w:bottom="1134" w:left="90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8413"/>
      <w:gridCol w:w="6610"/>
    </w:tblGrid>
    <w:tr>
      <w:trPr>
        <w:cantSplit/>
      </w:trPr>
      <w:tc>
        <w:tcPr>
          <w:tcW w:type="dxa" w:w="8413"/>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661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4"/>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4"/>
              <w:sz w:val="14"/>
              <w:u w:val="none"/>
            </w:rPr>
            <w:t>Cash-Flow &amp; Net Position Report</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7512"/>
      <w:gridCol w:w="7512"/>
    </w:tblGrid>
    <w:tr>
      <w:trPr>
        <w:cantSplit/>
      </w:trPr>
      <w:tc>
        <w:tcPr>
          <w:tcW w:type="dxa" w:w="7512"/>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4"/>
              <w:sz w:val="14"/>
              <w:u w:val="none"/>
            </w:rPr>
            <w:t>Aurixa Systems</w:t>
          </w:r>
        </w:p>
      </w:tc>
      <w:tc>
        <w:tcPr>
          <w:tcW w:type="dxa" w:w="7512"/>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4"/>
              <w:sz w:val="14"/>
              <w:u w:val="none"/>
            </w:rPr>
            <w:t>Cash-Flow &amp; Net Position Report</w:t>
          </w:r>
        </w:p>
      </w:tc>
    </w:tr>
  </w:tbl>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4"/>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4"/>
              <w:sz w:val="14"/>
              <w:u w:val="none"/>
            </w:rPr>
            <w:t>Cash-Flow &amp; Net Position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7"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Cash-Flow &amp; Net Position Report</dc:title>
  <dc:subject>Projected cash flow and net position over one to ten years, with the assumptions, the year-by-year detail and the sensitivity.</dc:subject>
  <dc:creator>Aurixa Systems</dc:creator>
  <cp:keywords>Cash flow, Net position, Holding cost, Finance &amp; Lending,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