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Engagement</w:t>
      </w:r>
    </w:p>
    <w:p>
      <w:pPr>
        <w:keepNext/>
        <w:keepLines/>
        <w:pageBreakBefore w:val="0"/>
        <w:widowControl w:val="1"/>
        <w:spacing w:before="0" w:after="120" w:line="254" w:lineRule="auto"/>
      </w:pPr>
      <w:r>
        <w:rPr>
          <w:rFonts w:ascii="Arial" w:hAnsi="Arial" w:cs="Arial" w:eastAsia="Arial"/>
          <w:b/>
          <w:i w:val="0"/>
          <w:color w:val="0C2340"/>
          <w:sz w:val="48"/>
          <w:u w:val="none"/>
        </w:rPr>
        <w:t>{{form.title}}</w:t>
      </w:r>
    </w:p>
    <w:p>
      <w:pPr>
        <w:keepNext w:val="0"/>
        <w:keepLines/>
        <w:pageBreakBefore w:val="0"/>
        <w:widowControl w:val="1"/>
        <w:spacing w:before="0" w:after="0" w:line="326" w:lineRule="auto"/>
      </w:pPr>
      <w:r>
        <w:rPr>
          <w:rFonts w:ascii="Arial" w:hAnsi="Arial" w:cs="Arial" w:eastAsia="Arial"/>
          <w:b w:val="0"/>
          <w:i w:val="0"/>
          <w:color w:val="4C5B73"/>
          <w:sz w:val="22"/>
          <w:u w:val="none"/>
        </w:rPr>
        <w:t>{{form.subtitle}}</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Engagement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{{engagement.startDate}}</w:t>
            </w:r>
          </w:p>
        </w:tc>
      </w:tr>
    </w:tbl>
    <w:p>
      <w:pPr>
        <w:keepNext w:val="0"/>
        <w:keepLines/>
        <w:pageBreakBefore w:val="0"/>
        <w:widowControl w:val="1"/>
        <w:spacing w:before="0" w:after="0" w:line="112" w:lineRule="exact"/>
      </w:pPr>
      <w:r>
        <w:rPr>
          <w:sz w:val="2"/>
        </w:rPr>
      </w:r>
    </w:p>
    <w:p>
      <w:pPr>
        <w:keepNext w:val="0"/>
        <w:keepLines/>
        <w:pageBreakBefore w:val="0"/>
        <w:widowControl w:val="1"/>
        <w:spacing w:before="0" w:after="0" w:line="312" w:lineRule="auto"/>
      </w:pPr>
      <w:r>
        <w:rPr>
          <w:rFonts w:ascii="Arial" w:hAnsi="Arial" w:cs="Arial" w:eastAsia="Arial"/>
          <w:b w:val="0"/>
          <w:i w:val="0"/>
          <w:color w:val="10192A"/>
          <w:sz w:val="19"/>
          <w:u w:val="none"/>
        </w:rPr>
        <w:t>{{engagement.welcome}}</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Your details</w:t>
      </w:r>
    </w:p>
    <w:p>
      <w:pPr>
        <w:keepNext/>
        <w:keepLines/>
        <w:pageBreakBefore w:val="0"/>
        <w:widowControl w:val="1"/>
        <w:spacing w:before="100" w:after="0"/>
      </w:pPr>
      <w:r>
        <w:rPr>
          <w:rFonts w:ascii="Arial" w:hAnsi="Arial" w:cs="Arial" w:eastAsia="Arial"/>
          <w:b w:val="0"/>
          <w:i w:val="0"/>
          <w:color w:val="4C5B73"/>
          <w:sz w:val="15"/>
          <w:u w:val="none"/>
        </w:rPr>
        <w:t>Who we are acting for</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name(s)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Entity name (if applicable)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ABN / ACN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Postal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Best contact time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Engagement scope</w:t>
      </w:r>
    </w:p>
    <w:p>
      <w:pPr>
        <w:keepNext/>
        <w:keepLines/>
        <w:pageBreakBefore w:val="0"/>
        <w:widowControl w:val="1"/>
        <w:spacing w:before="100" w:after="0"/>
      </w:pPr>
      <w:r>
        <w:rPr>
          <w:rFonts w:ascii="Arial" w:hAnsi="Arial" w:cs="Arial" w:eastAsia="Arial"/>
          <w:b w:val="0"/>
          <w:i w:val="0"/>
          <w:color w:val="4C5B73"/>
          <w:sz w:val="15"/>
          <w:u w:val="none"/>
        </w:rPr>
        <w:t>What is and is not included</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Included in this engagement</w:t>
            </w:r>
          </w:p>
        </w:tc>
        <w:tc>
          <w:tcPr>
            <w:tcW w:type="dxa" w:w="5046"/>
            <w:tcBorders>
              <w:top w:val="nil"/>
              <w:left w:val="nil"/>
              <w:bottom w:val="nil"/>
              <w:right w:val="nil"/>
            </w:tcBorders>
            <w:shd w:val="clear" w:color="auto" w:fill="B3261E"/>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Not included</w:t>
            </w:r>
          </w:p>
        </w:tc>
      </w:tr>
      <w:tr>
        <w:trPr>
          <w:cantSplit/>
        </w:trPr>
        <w:tc>
          <w:tcPr>
            <w:tcW w:type="dxa" w:w="5046"/>
            <w:tcBorders>
              <w:top w:val="nil"/>
              <w:left w:val="nil"/>
              <w:bottom w:val="single" w:sz="4" w:space="0" w:color="DCE3ED"/>
              <w:right w:val="single" w:sz="30" w:space="0" w:color="FFFFFF"/>
            </w:tcBorders>
            <w:shd w:val="clear" w:color="auto" w:fill="E6F6EF"/>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{{engagement.included[0]}}</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{{engagement.included[1]}}</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{{engagement.included[2]}}</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{{engagement.included[3]}}</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{{engagement.included[4]}}</w:t>
            </w:r>
          </w:p>
        </w:tc>
        <w:tc>
          <w:tcPr>
            <w:tcW w:type="dxa" w:w="5046"/>
            <w:tcBorders>
              <w:top w:val="nil"/>
              <w:left w:val="nil"/>
              <w:bottom w:val="single" w:sz="4" w:space="0" w:color="DCE3ED"/>
              <w:right w:val="nil"/>
            </w:tcBorders>
            <w:shd w:val="clear" w:color="auto" w:fill="FBECEA"/>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{{engagement.excluded[0]}}</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{{engagement.excluded[1]}}</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{{engagement.excluded[2]}}</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{{engagement.excluded[3]}}</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{{engagement.excluded[4]}}</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Where you will need another professional</w:t>
            </w:r>
          </w:p>
          <w:p>
            <w:pPr>
              <w:keepNext w:val="0"/>
              <w:keepLines/>
              <w:pageBreakBefore w:val="0"/>
              <w:widowControl w:val="1"/>
              <w:spacing w:before="0" w:after="0" w:line="312" w:lineRule="auto"/>
            </w:pPr>
            <w:r>
              <w:rPr>
                <w:rFonts w:ascii="Arial" w:hAnsi="Arial" w:cs="Arial" w:eastAsia="Arial"/>
                <w:b w:val="0"/>
                <w:i w:val="0"/>
                <w:color w:val="10192A"/>
                <w:sz w:val="17"/>
                <w:u w:val="none"/>
              </w:rPr>
              <w:t>{{engagement.referrals}}</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Fees</w:t>
      </w:r>
    </w:p>
    <w:p>
      <w:pPr>
        <w:keepNext/>
        <w:keepLines/>
        <w:pageBreakBefore w:val="0"/>
        <w:widowControl w:val="1"/>
        <w:spacing w:before="100" w:after="0"/>
      </w:pPr>
      <w:r>
        <w:rPr>
          <w:rFonts w:ascii="Arial" w:hAnsi="Arial" w:cs="Arial" w:eastAsia="Arial"/>
          <w:b w:val="0"/>
          <w:i w:val="0"/>
          <w:color w:val="4C5B73"/>
          <w:sz w:val="15"/>
          <w:u w:val="none"/>
        </w:rPr>
        <w:t>What this costs and when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Fee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e schedule"/>
        <w:tblDescription w:val="Columns: Fee, Basis, Amount, When payable"/>
      </w:tblPr>
      <w:tblGrid>
        <w:gridCol w:w="2608"/>
        <w:gridCol w:w="2948"/>
        <w:gridCol w:w="1928"/>
        <w:gridCol w:w="2608"/>
      </w:tblGrid>
      <w:tr>
        <w:trPr>
          <w:cantSplit/>
          <w:trHeight w:val="420" w:hRule="atLeast"/>
          <w:tblHeader/>
        </w:trPr>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Fee</w:t>
            </w:r>
          </w:p>
        </w:tc>
        <w:tc>
          <w:tcPr>
            <w:tcW w:type="dxa" w:w="294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Basis</w:t>
            </w:r>
          </w:p>
        </w:tc>
        <w:tc>
          <w:tcPr>
            <w:tcW w:type="dxa" w:w="19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Amount</w:t>
            </w:r>
          </w:p>
        </w:tc>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When payable</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{{basis}}</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{{amount}}</w:t>
            </w: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{{when}}</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{{basis}}</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{{amount}}</w:t>
            </w: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{{when}}</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{{basis}}</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{{amount}}</w:t>
            </w: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{{when}}</w:t>
            </w:r>
          </w:p>
        </w:tc>
      </w:tr>
    </w:tbl>
    <w:p>
      <w:pPr>
        <w:keepNext w:val="0"/>
        <w:keepLines/>
        <w:pageBreakBefore w:val="0"/>
        <w:widowControl w:val="1"/>
        <w:spacing w:before="80" w:after="0" w:line="298" w:lineRule="auto"/>
      </w:pPr>
      <w:r>
        <w:rPr>
          <w:rFonts w:ascii="Arial" w:hAnsi="Arial" w:cs="Arial" w:eastAsia="Arial"/>
          <w:b w:val="0"/>
          <w:i/>
          <w:color w:val="8493A8"/>
          <w:sz w:val="14"/>
          <w:u w:val="none"/>
        </w:rPr>
        <w:t>All amounts are inclusive of GST unless stated otherwise. We will not incur a disbursement above $250 without your prior approval.</w:t>
      </w:r>
    </w:p>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Refund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{{fees.refund}}</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Payment method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Invoice 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Purchase-order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Authorities</w:t>
      </w:r>
    </w:p>
    <w:p>
      <w:pPr>
        <w:keepNext/>
        <w:keepLines/>
        <w:pageBreakBefore w:val="0"/>
        <w:widowControl w:val="1"/>
        <w:spacing w:before="100" w:after="0"/>
      </w:pPr>
      <w:r>
        <w:rPr>
          <w:rFonts w:ascii="Arial" w:hAnsi="Arial" w:cs="Arial" w:eastAsia="Arial"/>
          <w:b w:val="0"/>
          <w:i w:val="0"/>
          <w:color w:val="4C5B73"/>
          <w:sz w:val="15"/>
          <w:u w:val="none"/>
        </w:rPr>
        <w:t>What you authorise us to do</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I authorise you to</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{{authorities[0]}}</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{{authorities[1]}}</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{{authorities[2]}}</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{{authorities[3]}}</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{{authorities[4]}}</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{{authorities[5]}}</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Limits on authority</w:t>
            </w:r>
          </w:p>
          <w:p>
            <w:pPr>
              <w:keepNext w:val="0"/>
              <w:keepLines/>
              <w:pageBreakBefore w:val="0"/>
              <w:widowControl w:val="1"/>
              <w:spacing w:before="0" w:after="0" w:line="312" w:lineRule="auto"/>
            </w:pPr>
            <w:r>
              <w:rPr>
                <w:rFonts w:ascii="Arial" w:hAnsi="Arial" w:cs="Arial" w:eastAsia="Arial"/>
                <w:b w:val="0"/>
                <w:i w:val="0"/>
                <w:color w:val="10192A"/>
                <w:sz w:val="17"/>
                <w:u w:val="none"/>
              </w:rPr>
              <w:t>{{authorities.limits}}</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Communication preferences</w:t>
      </w:r>
    </w:p>
    <w:p>
      <w:pPr>
        <w:keepNext/>
        <w:keepLines/>
        <w:pageBreakBefore w:val="0"/>
        <w:widowControl w:val="1"/>
        <w:spacing w:before="100" w:after="0"/>
      </w:pPr>
      <w:r>
        <w:rPr>
          <w:rFonts w:ascii="Arial" w:hAnsi="Arial" w:cs="Arial" w:eastAsia="Arial"/>
          <w:b w:val="0"/>
          <w:i w:val="0"/>
          <w:color w:val="4C5B73"/>
          <w:sz w:val="15"/>
          <w:u w:val="none"/>
        </w:rPr>
        <w:t>How and how often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channel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Update frequency</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details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broker?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conveyancer?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Consents</w:t>
      </w:r>
    </w:p>
    <w:p>
      <w:pPr>
        <w:keepNext/>
        <w:keepLines/>
        <w:pageBreakBefore w:val="0"/>
        <w:widowControl w:val="1"/>
        <w:spacing w:before="100" w:after="0"/>
      </w:pPr>
      <w:r>
        <w:rPr>
          <w:rFonts w:ascii="Arial" w:hAnsi="Arial" w:cs="Arial" w:eastAsia="Arial"/>
          <w:b w:val="0"/>
          <w:i w:val="0"/>
          <w:color w:val="4C5B73"/>
          <w:sz w:val="15"/>
          <w:u w:val="none"/>
        </w:rPr>
        <w:t>Each one separately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Consents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{{consents[0]}}</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{{consents[1]}}</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{{consents[2]}}</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{{consents[3]}}</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These are separate on purpose</w:t>
            </w:r>
          </w:p>
          <w:p>
            <w:pPr>
              <w:keepNext w:val="0"/>
              <w:keepLines/>
              <w:pageBreakBefore w:val="0"/>
              <w:widowControl w:val="1"/>
              <w:spacing w:before="0" w:after="0" w:line="312" w:lineRule="auto"/>
            </w:pPr>
            <w:r>
              <w:rPr>
                <w:rFonts w:ascii="Arial" w:hAnsi="Arial" w:cs="Arial" w:eastAsia="Arial"/>
                <w:b w:val="0"/>
                <w:i w:val="0"/>
                <w:color w:val="10192A"/>
                <w:sz w:val="17"/>
                <w:u w:val="none"/>
              </w:rPr>
              <w:t>Each consent above is a separate decision and each is separately revocable. Declining the marketing consent has no effect on the engagement or on the service you receive.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What happens next</w:t>
      </w:r>
    </w:p>
    <w:p>
      <w:pPr>
        <w:keepNext/>
        <w:keepLines/>
        <w:pageBreakBefore w:val="0"/>
        <w:widowControl w:val="1"/>
        <w:spacing w:before="100" w:after="0"/>
      </w:pPr>
      <w:r>
        <w:rPr>
          <w:rFonts w:ascii="Arial" w:hAnsi="Arial" w:cs="Arial" w:eastAsia="Arial"/>
          <w:b w:val="0"/>
          <w:i w:val="0"/>
          <w:color w:val="4C5B73"/>
          <w:sz w:val="15"/>
          <w:u w:val="none"/>
        </w:rPr>
        <w:t>The first three steps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{{step.detail}}</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For the organisation</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Name   </w:t>
            </w:r>
            <w:r>
              <w:rPr>
                <w:rFonts w:ascii="Arial" w:hAnsi="Arial" w:cs="Arial" w:eastAsia="Arial"/>
                <w:b w:val="0"/>
                <w:i/>
                <w:color w:val="8493A8"/>
                <w:sz w:val="17"/>
                <w:u w:val="none"/>
              </w:rPr>
              <w:t>{{author.name}}</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{{legal.terms}}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engagement</w:t>
      </w:r>
    </w:p>
    <w:p>
      <w:pPr>
        <w:keepNext w:val="0"/>
        <w:keepLines/>
        <w:pageBreakBefore w:val="0"/>
        <w:widowControl w:val="1"/>
        <w:spacing w:before="0" w:after="0" w:line="312" w:lineRule="auto"/>
      </w:pPr>
      <w:r>
        <w:rPr>
          <w:rFonts w:ascii="Arial" w:hAnsi="Arial" w:cs="Arial" w:eastAsia="Arial"/>
          <w:b w:val="0"/>
          <w:i w:val="0"/>
          <w:color w:val="4C5B73"/>
          <w:sz w:val="17"/>
          <w:u w:val="none"/>
        </w:rPr>
        <w:t>This engagement continues until the agreed work is complete or either party ends it by written notice. Fees accrued before the end date remain payable. Nothing in this form limits any right you have under the Australian Consumer Law.</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v{{document.version}}</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Onboarding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Form</dc:title>
  <dc:subject>Engagement-level onboarding: parties, scope of service, fees, authorities, communication preferences and consents.</dc:subject>
  <dc:creator>Aurixa Systems</dc:creator>
  <cp:keywords>Onboarding, Engagement, Client setup,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