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8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2"/>
                <w:sz w:val="16"/>
                <w:u w:val="none"/>
              </w:rPr>
              <w:t>For decision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pacing w:val="4"/>
                <w:sz w:val="60"/>
                <w:u w:val="none"/>
              </w:rPr>
              <w:t>Executive Business Report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Performance for the period, the options considered and the recommended course of action.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FOR DECISION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CONFIDENTIAL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J. &amp; S.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CL-2026-0418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 July 2026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APR-0418-01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Contents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Performance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Key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Options considered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Recommendation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Decisions required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For readers of one page only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3"/>
                <w:u w:val="none"/>
              </w:rPr>
              <w:t>Revenue is 8% ahead of plan on 12% fewer engagements — the mix has shifted and the operating model has not.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The period closed at $4.28m against a plan of $3.96m, a favourable variance of 8.1%. That result was produced by 214 engagements against a plan of 243, so average engagement value rose from $16,300 to $20,000.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The shift is concentrated in two service lines. Advisory and compliance work grew 34% and 41% respectively, while transactional work fell 19%. The operating model, resourcing plan and pricing structure were all built for the previous mix.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Three options are set out in section four. The recommendation is to re-weight delivery capacity toward advisory and compliance over two quarters, funded from the transactional team's existing headcount rather than net new hiring.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Revenue ahead of plan; engagement volume behind it.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Average engagement value up 23% — this is a mix shift, not a pricing win.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Advisory and compliance capacity is the binding constraint by Q3.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Recommended option requires no net new headcount.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REVENUE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ENGAGEMENTS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AVERAGE VALUE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UTILISATION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$4.28m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8.1% vs plan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214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▼ 11.9% vs plan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$20,000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22.7%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81%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6 pts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Performance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Against plan and prior period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Results against plan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sults against plan"/>
        <w:tblDescription w:val="Columns: Measure, Plan, Actual, Variance, Prior period, Movement"/>
      </w:tblPr>
      <w:tblGrid>
        <w:gridCol w:w="2677"/>
        <w:gridCol w:w="1545"/>
        <w:gridCol w:w="1545"/>
        <w:gridCol w:w="1339"/>
        <w:gridCol w:w="1545"/>
        <w:gridCol w:w="1442"/>
      </w:tblGrid>
      <w:tr>
        <w:trPr>
          <w:cantSplit/>
          <w:trHeight w:val="420" w:hRule="atLeast"/>
          <w:tblHeader/>
        </w:trPr>
        <w:tc>
          <w:tcPr>
            <w:tcW w:type="dxa" w:w="26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Plan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Variance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period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$3,960,000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$4,280,000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+8.1%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$3,742,000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+14.4%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Engagements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243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214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−11.9%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229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−6.6%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Average engagement value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$16,300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$20,000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+22.7%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$16,340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+22.4%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Advisory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$1,180,000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$1,581,000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+34.0%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$1,180,000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+34.0%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Compliance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$742,000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$1,046,000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+41.0%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+41.0%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Transactional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$2,038,000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$1,653,000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−18.9%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$1,820,000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−9.2%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Utilisation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75%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81%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 pts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76%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 pts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175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18"/>
                <w:u w:val="none"/>
              </w:rPr>
              <w:t>Revenue by service line, four periods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{{performance.series}}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Mix shift is visible from period two   ·   Source: Finance system   ·   Alt text: Advisory and compliance grow while transactional revenue declines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Key findings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What the numbers show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Finding 1 — The mix shift is structural, not seasonal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and compliance growth has been positive in each of the last four periods, and the transactional decline tracks a market-wide fall in volumes rather than a loss of share. Share in transactional work is unchanged at 4.1%.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Finding 2 — Delivery capacity is the binding constraint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utilisation reached 94% in the final month of the period, against a sustainable ceiling of 85%. Four engagements were declined for capacity reasons. On current trajectory the constraint binds in Q3.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Finding 3 — Pricing has not moved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The rise in average engagement value is entirely mix. Like-for-like advisory pricing is unchanged for seven quarters against 11% cumulative cost inflation.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Options considered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Three, assessed equally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Options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ptions assessed"/>
        <w:tblDescription w:val="Compares: A — Hold, B — Re-weight, C — Expand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A — Hold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 — Re-weight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 — Expand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Description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Change nothing this year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Move capacity from transactional to advisory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Hire into advisory and compliance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Net new headcount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Cost in period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$84,000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$690,000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Revenue impact, 12 months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−$310,000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+$540,000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+$980,000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Time to effect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 quarters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quarters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Key risk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Declines engagements at capacity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Retraining lag in Q1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Fixed cost added ahead of demand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Reversibility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n/a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High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Low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HIGH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2"/>
                <w:u w:val="none"/>
              </w:rPr>
              <w:t>Adopt Option B — re-weight delivery capacity toward advisory and compliance over two quarters, funded from existing transactional headcount.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Option B captures most of the available upside at a twelfth of the cost of Option C, requires no net new headcount, and is reversible within a quarter if the mix shift proves temporary. Option A forgoes $310,000 and continues to decline work we are capable of delivering.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Approve the $84,000 retraining and accreditation budget.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Approve the transfer of four delivery staff from transactional to advisory.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Approve a like-for-like pricing review for advisory, reporting in Q2.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Risks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And how they are managed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0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Retraining lag reduces delivery capacity in Q1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Stagger the transfer across two cohorts so no more than two staff are out of production at once.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Transactional volumes recover and capacity is in the wrong place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Option B is reversible within a quarter; monitor transactional enquiry volume monthly and set a re-weight trigger at +15%.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demand is concentrated in two clients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Both clients represent 31% of advisory revenue. Business development target of four new advisory clients by Q3 is added to the plan.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Implementation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Q1 W1–4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Approve budget and transfers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Board approval, staff consultation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Q1 W5–12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Cohort 1 retraining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Two staff, accreditation complete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Q2 W1–8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Cohort 2 retraining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Two staff, accreditation complete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Q2 W9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Pricing review reported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Like-for-like advisory pricing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Q3 W1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Capacity re-weighted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Advisory utilisation target 85%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Decisions required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Approve Option B as the recommended course of action.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Approve the $84,000 retraining and accreditation budget.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Approve the transfer of four delivery staff.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Note the advisory client concentration risk and the mitigation target.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Executive Business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Business Report</dc:title>
  <dc:subject>A formal business report for a leadership audience: position, performance, analysis, options and a recommendation.</dc:subject>
  <dc:creator>Aurixa Systems</dc:creator>
  <cp:keywords>Executive report, Business report, Management report,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