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40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4"/>
                <w:sz w:val="16"/>
                <w:u w:val="none"/>
              </w:rPr>
              <w:t>Debt structure &amp; funding plan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6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STRATEGY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SEQUENCED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STRESS-TESTED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01   Executive summary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The strategy in brief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9" w:type="dxa"/>
              <w:left w:w="220" w:type="dxa"/>
              <w:bottom w:w="189" w:type="dxa"/>
              <w:right w:w="2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2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6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6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6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4"/>
                <w:u w:val="none"/>
              </w:rPr>
              <w:t>TOTAL DEBT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4"/>
                <w:u w:val="none"/>
              </w:rPr>
              <w:t>BLENDED RATE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4"/>
                <w:u w:val="none"/>
              </w:rPr>
              <w:t>USABLE EQUITY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4"/>
                <w:u w:val="none"/>
              </w:rPr>
              <w:t>CURRENT LVR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{{position.totalDebt}}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Across 4 assets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{{position.blendedRate}}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Current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{{position.usableEquity}}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At 80% LVR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{{position.lvr}}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Portfolio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02   Position today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Current structure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2"/>
          <w:sz w:val="15"/>
          <w:u w:val="none"/>
        </w:rPr>
        <w:t>Current facilities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urrent facilities"/>
        <w:tblDescription w:val="Columns: Facility, Security, Limit, Balance, Rate, Type, Expiry"/>
      </w:tblPr>
      <w:tblGrid>
        <w:gridCol w:w="1312"/>
        <w:gridCol w:w="2624"/>
        <w:gridCol w:w="1312"/>
        <w:gridCol w:w="1312"/>
        <w:gridCol w:w="1009"/>
        <w:gridCol w:w="1413"/>
        <w:gridCol w:w="1110"/>
      </w:tblGrid>
      <w:tr>
        <w:trPr>
          <w:cantSplit/>
          <w:trHeight w:val="420" w:hRule="atLeast"/>
          <w:tblHeader/>
        </w:trPr>
        <w:tc>
          <w:tcPr>
            <w:tcW w:type="dxa" w:w="131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Facility</w:t>
            </w:r>
          </w:p>
        </w:tc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Security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Limit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Balance</w:t>
            </w:r>
          </w:p>
        </w:tc>
        <w:tc>
          <w:tcPr>
            <w:tcW w:type="dxa" w:w="100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Rate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Type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Expiry</w:t>
            </w:r>
          </w:p>
        </w:tc>
      </w:tr>
      <w:tr>
        <w:trPr>
          <w:cantSplit/>
          <w:trHeight w:val="397" w:hRule="atLeast"/>
        </w:trPr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{{balance}}</w:t>
            </w:r>
          </w:p>
        </w:tc>
        <w:tc>
          <w:tcPr>
            <w:tcW w:type="dxa" w:w="10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</w:tr>
      <w:tr>
        <w:trPr>
          <w:cantSplit/>
          <w:trHeight w:val="397" w:hRule="atLeast"/>
        </w:trPr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{{balance}}</w:t>
            </w:r>
          </w:p>
        </w:tc>
        <w:tc>
          <w:tcPr>
            <w:tcW w:type="dxa" w:w="10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</w:tr>
      <w:tr>
        <w:trPr>
          <w:cantSplit/>
          <w:trHeight w:val="397" w:hRule="atLeast"/>
        </w:trPr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{{balance}}</w:t>
            </w:r>
          </w:p>
        </w:tc>
        <w:tc>
          <w:tcPr>
            <w:tcW w:type="dxa" w:w="10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Both facilities are cross-collateralised. No property can be released, sold or revalued independently under this structure.</w:t>
      </w:r>
    </w:p>
    <w:p>
      <w:pPr>
        <w:keepNext w:val="0"/>
        <w:keepLines/>
        <w:pageBreakBefore w:val="0"/>
        <w:widowControl w:val="1"/>
        <w:spacing w:before="0" w:after="0" w:line="126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9" w:type="dxa"/>
              <w:left w:w="220" w:type="dxa"/>
              <w:bottom w:w="189" w:type="dxa"/>
              <w:right w:w="2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5"/>
                <w:u w:val="none"/>
              </w:rPr>
              <w:t>Goals &amp; constraints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297"/>
              <w:gridCol w:w="7275"/>
            </w:tblGrid>
            <w:tr>
              <w:trPr>
                <w:cantSplit/>
                <w:trHeight w:val="431" w:hRule="atLeast"/>
              </w:trPr>
              <w:tc>
                <w:tcPr>
                  <w:tcW w:type="dxa" w:w="229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5" w:type="dxa"/>
                    <w:left w:w="147" w:type="dxa"/>
                    <w:bottom w:w="105" w:type="dxa"/>
                    <w:right w:w="147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Objective</w:t>
                  </w:r>
                </w:p>
              </w:tc>
              <w:tc>
                <w:tcPr>
                  <w:tcW w:type="dxa" w:w="7275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5" w:type="dxa"/>
                    <w:left w:w="147" w:type="dxa"/>
                    <w:bottom w:w="105" w:type="dxa"/>
                    <w:right w:w="147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{{goals.objective}}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9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5" w:type="dxa"/>
                    <w:left w:w="147" w:type="dxa"/>
                    <w:bottom w:w="105" w:type="dxa"/>
                    <w:right w:w="147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Constraint</w:t>
                  </w:r>
                </w:p>
              </w:tc>
              <w:tc>
                <w:tcPr>
                  <w:tcW w:type="dxa" w:w="7275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5" w:type="dxa"/>
                    <w:left w:w="147" w:type="dxa"/>
                    <w:bottom w:w="105" w:type="dxa"/>
                    <w:right w:w="147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{{goals.constraint}}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9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5" w:type="dxa"/>
                    <w:left w:w="147" w:type="dxa"/>
                    <w:bottom w:w="105" w:type="dxa"/>
                    <w:right w:w="147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Constraint</w:t>
                  </w:r>
                </w:p>
              </w:tc>
              <w:tc>
                <w:tcPr>
                  <w:tcW w:type="dxa" w:w="7275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5" w:type="dxa"/>
                    <w:left w:w="147" w:type="dxa"/>
                    <w:bottom w:w="105" w:type="dxa"/>
                    <w:right w:w="147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{{goals.constraint2}}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9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5" w:type="dxa"/>
                    <w:left w:w="147" w:type="dxa"/>
                    <w:bottom w:w="105" w:type="dxa"/>
                    <w:right w:w="147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Preference</w:t>
                  </w:r>
                </w:p>
              </w:tc>
              <w:tc>
                <w:tcPr>
                  <w:tcW w:type="dxa" w:w="7275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5" w:type="dxa"/>
                    <w:left w:w="147" w:type="dxa"/>
                    <w:bottom w:w="105" w:type="dxa"/>
                    <w:right w:w="147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{{goals.preference}}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03   Target structure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Where we are going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2"/>
          <w:sz w:val="15"/>
          <w:u w:val="none"/>
        </w:rPr>
        <w:t>Proposed facilities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Proposed facilities"/>
        <w:tblDescription w:val="Columns: Facility, Security, Limit, Purpose, Lender, Type"/>
      </w:tblPr>
      <w:tblGrid>
        <w:gridCol w:w="1168"/>
        <w:gridCol w:w="2124"/>
        <w:gridCol w:w="1381"/>
        <w:gridCol w:w="2549"/>
        <w:gridCol w:w="1381"/>
        <w:gridCol w:w="1487"/>
      </w:tblGrid>
      <w:tr>
        <w:trPr>
          <w:cantSplit/>
          <w:trHeight w:val="420" w:hRule="atLeast"/>
          <w:tblHeader/>
        </w:trPr>
        <w:tc>
          <w:tcPr>
            <w:tcW w:type="dxa" w:w="11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Facility</w:t>
            </w:r>
          </w:p>
        </w:tc>
        <w:tc>
          <w:tcPr>
            <w:tcW w:type="dxa" w:w="212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Security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Limit</w:t>
            </w:r>
          </w:p>
        </w:tc>
        <w:tc>
          <w:tcPr>
            <w:tcW w:type="dxa" w:w="254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Purpose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</w:t>
            </w:r>
          </w:p>
        </w:tc>
        <w:tc>
          <w:tcPr>
            <w:tcW w:type="dxa" w:w="148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Type</w:t>
            </w:r>
          </w:p>
        </w:tc>
      </w:tr>
      <w:tr>
        <w:trPr>
          <w:cantSplit/>
          <w:trHeight w:val="397" w:hRule="atLeast"/>
        </w:trPr>
        <w:tc>
          <w:tcPr>
            <w:tcW w:type="dxa" w:w="11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21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25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{{purpose}}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</w:tr>
      <w:tr>
        <w:trPr>
          <w:cantSplit/>
          <w:trHeight w:val="397" w:hRule="atLeast"/>
        </w:trPr>
        <w:tc>
          <w:tcPr>
            <w:tcW w:type="dxa" w:w="11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21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25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{{purpose}}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</w:tr>
      <w:tr>
        <w:trPr>
          <w:cantSplit/>
          <w:trHeight w:val="397" w:hRule="atLeast"/>
        </w:trPr>
        <w:tc>
          <w:tcPr>
            <w:tcW w:type="dxa" w:w="11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21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25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{{purpose}}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</w:tr>
      <w:tr>
        <w:trPr>
          <w:cantSplit/>
          <w:trHeight w:val="397" w:hRule="atLeast"/>
        </w:trPr>
        <w:tc>
          <w:tcPr>
            <w:tcW w:type="dxa" w:w="11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21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{{security}}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25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{{purpose}}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26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2"/>
          <w:sz w:val="15"/>
          <w:u w:val="none"/>
        </w:rPr>
        <w:t>Current versus target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urrent versus target"/>
        <w:tblDescription w:val="Compares: Today, Target, Change"/>
      </w:tblPr>
      <w:tblGrid>
        <w:gridCol w:w="2624"/>
        <w:gridCol w:w="2489"/>
        <w:gridCol w:w="2489"/>
        <w:gridCol w:w="2489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Today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Target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Change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Facilities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5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+3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Lenders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+1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Cross-collateralised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 — all four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Removed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Blended rate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6.52%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6.18%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−0.34%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Annual interest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$120,424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$115,146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−$5,278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Usable equity accessible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$340,000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+$340,000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Portfolio LVR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63.4%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69.1%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+5.7%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04   Sequencing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The order matters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4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5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061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8"/>
                <w:u w:val="none"/>
              </w:rPr>
              <w:t>Funding runway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STACKED COLUMN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{{strategy.runway}}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Capacity released against planned acquisitions, 24 months   ·   Source: Aurixa funding model   ·   Alt text: Released equity covers both planned deposits with $42,000 headroom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2"/>
          <w:sz w:val="15"/>
          <w:u w:val="none"/>
        </w:rPr>
        <w:t>Risks and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and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2"/>
          <w:sz w:val="15"/>
          <w:u w:val="none"/>
        </w:rPr>
        <w:t>What we need from you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{{strategy.actions[0]}}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{{strategy.actions[1]}}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{{strategy.actions[2]}}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Important information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Disclaimer, privacy and terms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26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26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26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2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2"/>
              <w:sz w:val="14"/>
              <w:u w:val="none"/>
            </w:rPr>
            <w:t>Finance Strategy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26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Finance Strategy Report</dc:title>
  <dc:subject>The client's whole debt strategy: current structure, target structure, sequencing, and the funding runway for planned acquisitions.</dc:subject>
  <dc:creator>Aurixa Systems</dc:creator>
  <cp:keywords>Finance strategy, Debt structure, Funding plan,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