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34"/>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58"/>
                <w:sz w:val="16"/>
                <w:u w:val="none"/>
              </w:rPr>
              <w:t>Pre-exchange investigation</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z w:val="60"/>
                <w:u w:val="none"/>
              </w:rPr>
              <w:t>Property Due-Diligence Report</w:t>
            </w:r>
          </w:p>
          <w:tbl>
            <w:tblPr>
              <w:tblW w:type="auto" w:w="0"/>
              <w:jc w:val="left"/>
              <w:tblInd w:w="0" w:type="dxa"/>
              <w:tblBorders>
                <w:top w:val="nil"/>
                <w:left w:val="nil"/>
                <w:bottom w:val="nil"/>
                <w:right w:val="nil"/>
                <w:insideH w:val="nil"/>
                <w:insideV w:val="nil"/>
              </w:tblBorders>
              <w:tblLayout w:type="fixed"/>
              <w:tblLook w:firstColumn="1" w:firstRow="1" w:lastColumn="0" w:lastRow="0" w:noHBand="0" w:noVBand="1" w:val="04A0"/>
            </w:tblPr>
            <w:tblGrid>
              <w:gridCol w:w="1701"/>
            </w:tblGrid>
            <w:tr>
              <w:trPr>
                <w:cantSplit/>
              </w:trPr>
              <w:tc>
                <w:tcPr>
                  <w:tcW w:type="dxa" w:w="1701"/>
                  <w:shd w:val="clear" w:color="auto" w:fill="1D6FE0"/>
                  <w:tcMar>
                    <w:top w:w="0" w:type="dxa"/>
                    <w:left w:w="0" w:type="dxa"/>
                    <w:bottom w:w="0" w:type="dxa"/>
                    <w:right w:w="0" w:type="dxa"/>
                  </w:tcMar>
                </w:tcPr>
                <w:p>
                  <w:pPr>
                    <w:keepNext w:val="0"/>
                    <w:keepLines/>
                    <w:pageBreakBefore w:val="0"/>
                    <w:widowControl w:val="1"/>
                    <w:spacing w:before="0" w:after="0" w:line="48" w:lineRule="exact"/>
                  </w:pPr>
                  <w:r>
                    <w:rPr>
                      <w:sz w:val="2"/>
                    </w:rPr>
                  </w:r>
                </w:p>
              </w:tc>
            </w:tr>
          </w:tbl>
          <w:p/>
          <w:p>
            <w:pPr>
              <w:keepNext w:val="0"/>
              <w:keepLines/>
              <w:pageBreakBefore w:val="0"/>
              <w:widowControl w:val="1"/>
              <w:spacing w:before="0" w:after="0" w:line="160" w:lineRule="exact"/>
            </w:pPr>
            <w:r>
              <w:rPr>
                <w:sz w:val="2"/>
              </w:rPr>
            </w:r>
          </w:p>
          <w:p>
            <w:pPr>
              <w:keepNext w:val="0"/>
              <w:keepLines/>
              <w:pageBreakBefore w:val="0"/>
              <w:widowControl w:val="1"/>
              <w:spacing w:before="0" w:after="0" w:line="322" w:lineRule="auto"/>
            </w:pPr>
            <w:r>
              <w:rPr>
                <w:rFonts w:ascii="Calibri" w:hAnsi="Calibri" w:cs="Calibri" w:eastAsia="Calibri"/>
                <w:b w:val="0"/>
                <w:i w:val="0"/>
                <w:color w:val="AFC0D6"/>
                <w:sz w:val="22"/>
                <w:u w:val="none"/>
              </w:rPr>
              <w:t>12 Example Street, Northbridge NSW 2063 — title, planning, building, environmental and contractual findings against a numbered register.</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INVESTIGATED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EVIDENCED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AUDITABLE</w:t>
                  </w:r>
                </w:p>
              </w:tc>
            </w:tr>
          </w:tbl>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90" w:type="dxa"/>
              <w:left w:w="126" w:type="dxa"/>
              <w:bottom w:w="90" w:type="dxa"/>
              <w:right w:w="126"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90" w:type="dxa"/>
              <w:left w:w="126" w:type="dxa"/>
              <w:bottom w:w="90" w:type="dxa"/>
              <w:right w:w="126"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0C2340"/>
          <w:sz w:val="34"/>
          <w:u w:val="none"/>
        </w:rPr>
        <w:t>Contents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    </w:t>
      </w:r>
      <w:r>
        <w:rPr>
          <w:rFonts w:ascii="Calibri" w:hAnsi="Calibri" w:cs="Calibri" w:eastAsia="Calibri"/>
          <w:b w:val="0"/>
          <w:i w:val="0"/>
          <w:color w:val="10192A"/>
          <w:sz w:val="19"/>
          <w:u w:val="none"/>
        </w:rPr>
        <w:t>Scope &amp; limitations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    </w:t>
      </w:r>
      <w:r>
        <w:rPr>
          <w:rFonts w:ascii="Calibri" w:hAnsi="Calibri" w:cs="Calibri" w:eastAsia="Calibri"/>
          <w:b w:val="0"/>
          <w:i w:val="0"/>
          <w:color w:val="10192A"/>
          <w:sz w:val="19"/>
          <w:u w:val="none"/>
        </w:rPr>
        <w:t>Summary of findings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1    </w:t>
      </w:r>
      <w:r>
        <w:rPr>
          <w:rFonts w:ascii="Calibri" w:hAnsi="Calibri" w:cs="Calibri" w:eastAsia="Calibri"/>
          <w:b w:val="0"/>
          <w:i w:val="0"/>
          <w:color w:val="10192A"/>
          <w:sz w:val="19"/>
          <w:u w:val="none"/>
        </w:rPr>
        <w:t>Findings register</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2    </w:t>
      </w:r>
      <w:r>
        <w:rPr>
          <w:rFonts w:ascii="Calibri" w:hAnsi="Calibri" w:cs="Calibri" w:eastAsia="Calibri"/>
          <w:b w:val="0"/>
          <w:i w:val="0"/>
          <w:color w:val="10192A"/>
          <w:sz w:val="19"/>
          <w:u w:val="none"/>
        </w:rPr>
        <w:t>Title &amp; ownership</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3    </w:t>
      </w:r>
      <w:r>
        <w:rPr>
          <w:rFonts w:ascii="Calibri" w:hAnsi="Calibri" w:cs="Calibri" w:eastAsia="Calibri"/>
          <w:b w:val="0"/>
          <w:i w:val="0"/>
          <w:color w:val="10192A"/>
          <w:sz w:val="19"/>
          <w:u w:val="none"/>
        </w:rPr>
        <w:t>Planning &amp; zoning</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4    </w:t>
      </w:r>
      <w:r>
        <w:rPr>
          <w:rFonts w:ascii="Calibri" w:hAnsi="Calibri" w:cs="Calibri" w:eastAsia="Calibri"/>
          <w:b w:val="0"/>
          <w:i w:val="0"/>
          <w:color w:val="10192A"/>
          <w:sz w:val="19"/>
          <w:u w:val="none"/>
        </w:rPr>
        <w:t>Building &amp; pest</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5    </w:t>
      </w:r>
      <w:r>
        <w:rPr>
          <w:rFonts w:ascii="Calibri" w:hAnsi="Calibri" w:cs="Calibri" w:eastAsia="Calibri"/>
          <w:b w:val="0"/>
          <w:i w:val="0"/>
          <w:color w:val="10192A"/>
          <w:sz w:val="19"/>
          <w:u w:val="none"/>
        </w:rPr>
        <w:t>Environmental &amp; hazard</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6    </w:t>
      </w:r>
      <w:r>
        <w:rPr>
          <w:rFonts w:ascii="Calibri" w:hAnsi="Calibri" w:cs="Calibri" w:eastAsia="Calibri"/>
          <w:b w:val="0"/>
          <w:i w:val="0"/>
          <w:color w:val="10192A"/>
          <w:sz w:val="19"/>
          <w:u w:val="none"/>
        </w:rPr>
        <w:t>Strata / body corporate</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7    </w:t>
      </w:r>
      <w:r>
        <w:rPr>
          <w:rFonts w:ascii="Calibri" w:hAnsi="Calibri" w:cs="Calibri" w:eastAsia="Calibri"/>
          <w:b w:val="0"/>
          <w:i w:val="0"/>
          <w:color w:val="10192A"/>
          <w:sz w:val="19"/>
          <w:u w:val="none"/>
        </w:rPr>
        <w:t>Outstanding items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8    </w:t>
      </w:r>
      <w:r>
        <w:rPr>
          <w:rFonts w:ascii="Calibri" w:hAnsi="Calibri" w:cs="Calibri" w:eastAsia="Calibri"/>
          <w:b w:val="0"/>
          <w:i w:val="0"/>
          <w:color w:val="10192A"/>
          <w:sz w:val="19"/>
          <w:u w:val="none"/>
        </w:rPr>
        <w:t>Risks &amp; mitigations</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9    </w:t>
      </w:r>
      <w:r>
        <w:rPr>
          <w:rFonts w:ascii="Calibri" w:hAnsi="Calibri" w:cs="Calibri" w:eastAsia="Calibri"/>
          <w:b w:val="0"/>
          <w:i w:val="0"/>
          <w:color w:val="10192A"/>
          <w:sz w:val="19"/>
          <w:u w:val="none"/>
        </w:rPr>
        <w:t>Conclusion</w:t>
      </w:r>
    </w:p>
    <w:p>
      <w:pPr>
        <w:keepNext w:val="0"/>
        <w:keepLines/>
        <w:pageBreakBefore w:val="0"/>
        <w:widowControl w:val="1"/>
        <w:pBdr>
          <w:bottom w:val="single" w:sz="4" w:space="3" w:color="DCE3ED"/>
        </w:pBdr>
        <w:spacing w:before="0" w:after="120" w:line="288" w:lineRule="auto"/>
      </w:pPr>
      <w:r>
        <w:rPr>
          <w:rFonts w:ascii="Consolas" w:hAnsi="Consolas" w:cs="Consolas" w:eastAsia="Consolas"/>
          <w:b/>
          <w:i w:val="0"/>
          <w:color w:val="1D6FE0"/>
          <w:sz w:val="19"/>
          <w:u w:val="none"/>
        </w:rPr>
        <w:t xml:space="preserve">A    </w:t>
      </w:r>
      <w:r>
        <w:rPr>
          <w:rFonts w:ascii="Calibri" w:hAnsi="Calibri" w:cs="Calibri" w:eastAsia="Calibri"/>
          <w:b w:val="0"/>
          <w:i w:val="0"/>
          <w:color w:val="10192A"/>
          <w:sz w:val="19"/>
          <w:u w:val="none"/>
        </w:rPr>
        <w:t>Evidence index</w:t>
      </w:r>
    </w:p>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0C2340"/>
          <w:sz w:val="34"/>
          <w:u w:val="none"/>
        </w:rPr>
        <w:t>Scope &amp; limitations</w:t>
      </w:r>
    </w:p>
    <w:p>
      <w:pPr>
        <w:keepNext/>
        <w:keepLines/>
        <w:pageBreakBefore w:val="0"/>
        <w:widowControl w:val="1"/>
        <w:spacing w:before="0" w:after="100"/>
      </w:pPr>
      <w:r>
        <w:rPr>
          <w:rFonts w:ascii="Calibri" w:hAnsi="Calibri" w:cs="Calibri" w:eastAsia="Calibri"/>
          <w:b/>
          <w:i w:val="0"/>
          <w:caps w:val="1"/>
          <w:color w:val="4C5B73"/>
          <w:spacing w:val="26"/>
          <w:sz w:val="15"/>
          <w:u w:val="none"/>
        </w:rPr>
        <w:t>Read this first</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4C5B73"/>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4C5B73"/>
                <w:spacing w:val="26"/>
                <w:sz w:val="15"/>
                <w:u w:val="none"/>
              </w:rPr>
              <w:t>Scope &amp; limitations</w:t>
            </w:r>
          </w:p>
          <w:p>
            <w:pPr>
              <w:keepNext w:val="0"/>
              <w:keepLines/>
              <w:pageBreakBefore w:val="0"/>
              <w:widowControl w:val="1"/>
              <w:spacing w:before="0" w:after="0" w:line="312" w:lineRule="auto"/>
            </w:pPr>
            <w:r>
              <w:rPr>
                <w:rFonts w:ascii="Calibri" w:hAnsi="Calibri" w:cs="Calibri" w:eastAsia="Calibri"/>
                <w:b w:val="0"/>
                <w:i w:val="0"/>
                <w:color w:val="10192A"/>
                <w:sz w:val="17"/>
                <w:u w:val="none"/>
              </w:rPr>
              <w:t>This report records the results of the investigations listed below, carried out on the dates stated. It is not a valuation, a structural engineering assessment, a survey, or legal advice on the contract. Matters outside the listed scope have not been investigated and no opinion is expressed on them.</w:t>
            </w:r>
          </w:p>
          <w:p>
            <w:pPr>
              <w:keepNext w:val="0"/>
              <w:keepLines/>
              <w:pageBreakBefore w:val="0"/>
              <w:widowControl w:val="1"/>
              <w:spacing w:before="0" w:after="0" w:line="100" w:lineRule="exact"/>
            </w:pPr>
            <w:r>
              <w:rPr>
                <w:sz w:val="2"/>
              </w:rPr>
            </w:r>
          </w:p>
          <w:p>
            <w:pPr>
              <w:keepNext w:val="0"/>
              <w:keepLines/>
              <w:pageBreakBefore w:val="0"/>
              <w:widowControl w:val="1"/>
              <w:spacing w:before="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Investigation period: 18 July 2026 to 29 July 2026.</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Contract of sale reviewed: version dated 16 July 2026.</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Physical inspection: 22 July 2026, by a licensed building inspector.</w:t>
            </w:r>
          </w:p>
          <w:p>
            <w:pPr>
              <w:keepNext w:val="0"/>
              <w:keepLines/>
              <w:pageBreakBefore w:val="0"/>
              <w:widowControl w:val="1"/>
              <w:spacing w:before="80" w:after="0" w:line="312" w:lineRule="auto"/>
              <w:ind w:left="200" w:hanging="200"/>
            </w:pPr>
            <w:r>
              <w:rPr>
                <w:rFonts w:ascii="Calibri" w:hAnsi="Calibri" w:cs="Calibri" w:eastAsia="Calibri"/>
                <w:b/>
                <w:i w:val="0"/>
                <w:color w:val="4C5B73"/>
                <w:sz w:val="17"/>
                <w:u w:val="none"/>
              </w:rPr>
              <w:t xml:space="preserve">•  </w:t>
            </w:r>
            <w:r>
              <w:rPr>
                <w:rFonts w:ascii="Calibri" w:hAnsi="Calibri" w:cs="Calibri" w:eastAsia="Calibri"/>
                <w:b w:val="0"/>
                <w:i w:val="0"/>
                <w:color w:val="10192A"/>
                <w:sz w:val="17"/>
                <w:u w:val="none"/>
              </w:rPr>
              <w:t>Not investigated: structural engineering, survey, pool compliance.</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DCE3ED"/>
              <w:left w:val="single" w:sz="18" w:space="0" w:color="1D6FE0"/>
              <w:bottom w:val="single" w:sz="6" w:space="0" w:color="DCE3ED"/>
              <w:right w:val="single" w:sz="6" w:space="0" w:color="DCE3ED"/>
            </w:tcBorders>
            <w:shd w:val="clear" w:color="auto" w:fill="FFFFFF"/>
            <w:tcMar>
              <w:top w:w="162" w:type="dxa"/>
              <w:left w:w="189" w:type="dxa"/>
              <w:bottom w:w="162" w:type="dxa"/>
              <w:right w:w="189" w:type="dxa"/>
            </w:tcMar>
          </w:tcPr>
          <w:p>
            <w:pPr>
              <w:keepNext/>
              <w:keepLines/>
              <w:pageBreakBefore w:val="0"/>
              <w:widowControl w:val="1"/>
              <w:spacing w:before="0" w:after="80"/>
            </w:pPr>
            <w:r>
              <w:rPr>
                <w:rFonts w:ascii="Calibri" w:hAnsi="Calibri" w:cs="Calibri" w:eastAsia="Calibri"/>
                <w:b/>
                <w:i w:val="0"/>
                <w:caps w:val="1"/>
                <w:color w:val="1D6FE0"/>
                <w:spacing w:val="26"/>
                <w:sz w:val="15"/>
                <w:u w:val="none"/>
              </w:rPr>
              <w:t>Summary of findings</w:t>
            </w:r>
          </w:p>
          <w:p>
            <w:pPr>
              <w:keepNext/>
              <w:keepLines/>
              <w:pageBreakBefore w:val="0"/>
              <w:widowControl w:val="1"/>
              <w:spacing w:before="0" w:after="120" w:line="293" w:lineRule="auto"/>
            </w:pPr>
            <w:r>
              <w:rPr>
                <w:rFonts w:ascii="Calibri" w:hAnsi="Calibri" w:cs="Calibri" w:eastAsia="Calibri"/>
                <w:b/>
                <w:i w:val="0"/>
                <w:color w:val="0C2340"/>
                <w:sz w:val="23"/>
                <w:u w:val="none"/>
              </w:rPr>
              <w:t>Two findings condition exchange; neither prevents it. Three items remain outstanding.</w:t>
            </w:r>
          </w:p>
          <w:p>
            <w:pPr>
              <w:keepNext w:val="0"/>
              <w:keepLines/>
              <w:pageBreakBefore w:val="0"/>
              <w:widowControl w:val="1"/>
              <w:spacing w:before="0" w:after="0" w:line="312" w:lineRule="auto"/>
            </w:pPr>
            <w:r>
              <w:rPr>
                <w:rFonts w:ascii="Calibri" w:hAnsi="Calibri" w:cs="Calibri" w:eastAsia="Calibri"/>
                <w:b w:val="0"/>
                <w:i w:val="0"/>
                <w:color w:val="10192A"/>
                <w:sz w:val="19"/>
                <w:u w:val="none"/>
              </w:rPr>
              <w:t>Twenty-eight due-diligence items were investigated. Twenty-three returned clear, two returned findings that should condition exchange, and three remain outstanding pending third-party responses.</w:t>
            </w:r>
          </w:p>
          <w:p>
            <w:pPr>
              <w:keepNext w:val="0"/>
              <w:keepLines/>
              <w:pageBreakBefore w:val="0"/>
              <w:widowControl w:val="1"/>
              <w:spacing w:before="100" w:after="0" w:line="312" w:lineRule="auto"/>
            </w:pPr>
            <w:r>
              <w:rPr>
                <w:rFonts w:ascii="Calibri" w:hAnsi="Calibri" w:cs="Calibri" w:eastAsia="Calibri"/>
                <w:b w:val="0"/>
                <w:i w:val="0"/>
                <w:color w:val="10192A"/>
                <w:sz w:val="19"/>
                <w:u w:val="none"/>
              </w:rPr>
              <w:t>The two conditioning findings are rising damp to the rear wall, quantified at $6,500, and a positive covenant requiring maintenance of a shared boundary retaining wall. Both are addressable by price adjustment or by a special condition.</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ITEMS INVESTIGATED</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CLEAR</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FINDINGS</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26"/>
                <w:sz w:val="14"/>
                <w:u w:val="none"/>
              </w:rPr>
              <w:t>OUTSTANDING</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28</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In scope</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23</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No action</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2</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Condition exchange</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onsolas" w:hAnsi="Consolas" w:cs="Consolas" w:eastAsia="Consolas"/>
                <w:b/>
                <w:i w:val="0"/>
                <w:color w:val="0C2340"/>
                <w:sz w:val="32"/>
                <w:u w:val="none"/>
              </w:rPr>
              <w:t>3</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Awaiting response</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1   </w:t>
      </w:r>
      <w:r>
        <w:rPr>
          <w:rFonts w:ascii="Calibri" w:hAnsi="Calibri" w:cs="Calibri" w:eastAsia="Calibri"/>
          <w:b w:val="0"/>
          <w:i w:val="0"/>
          <w:color w:val="0C2340"/>
          <w:sz w:val="34"/>
          <w:u w:val="none"/>
        </w:rPr>
        <w:t>Findings register</w:t>
      </w:r>
    </w:p>
    <w:p>
      <w:pPr>
        <w:keepNext/>
        <w:keepLines/>
        <w:pageBreakBefore w:val="0"/>
        <w:widowControl w:val="1"/>
        <w:spacing w:before="0" w:after="100"/>
      </w:pPr>
      <w:r>
        <w:rPr>
          <w:rFonts w:ascii="Calibri" w:hAnsi="Calibri" w:cs="Calibri" w:eastAsia="Calibri"/>
          <w:b/>
          <w:i w:val="0"/>
          <w:caps w:val="1"/>
          <w:color w:val="4C5B73"/>
          <w:spacing w:val="26"/>
          <w:sz w:val="15"/>
          <w:u w:val="none"/>
        </w:rPr>
        <w:t>Every item investigated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Due-diligence register</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ue-diligence register"/>
        <w:tblDescription w:val="Columns: Ref, Item, Finding, Evidence, Reviewer, Status"/>
      </w:tblPr>
      <w:tblGrid>
        <w:gridCol w:w="807"/>
        <w:gridCol w:w="2119"/>
        <w:gridCol w:w="2826"/>
        <w:gridCol w:w="1917"/>
        <w:gridCol w:w="1110"/>
        <w:gridCol w:w="1312"/>
      </w:tblGrid>
      <w:tr>
        <w:trPr>
          <w:cantSplit/>
          <w:tblHeader/>
        </w:trPr>
        <w:tc>
          <w:tcPr>
            <w:tcW w:type="dxa" w:w="80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11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282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Finding</w:t>
            </w:r>
          </w:p>
        </w:tc>
        <w:tc>
          <w:tcPr>
            <w:tcW w:type="dxa" w:w="191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Evidence</w:t>
            </w:r>
          </w:p>
        </w:tc>
        <w:tc>
          <w:tcPr>
            <w:tcW w:type="dxa" w:w="1110"/>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Reviewer</w:t>
            </w:r>
          </w:p>
        </w:tc>
        <w:tc>
          <w:tcPr>
            <w:tcW w:type="dxa" w:w="131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Fee simple, no caveats</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Encumbrances</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Positive covenant — shared retaining wall</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Easements</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easement, rear 1.5m</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diagram 29/07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Zoning</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R2 Low Density Residential</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1.5</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Overlays</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 applicable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1.6</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 structure</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Sound, no movement</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Inspection 22/07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BI</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1.7</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 moisture</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Rising damp, rear wall</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Inspection 22/07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BI</w:t>
            </w:r>
          </w:p>
        </w:tc>
        <w:tc>
          <w:tcPr>
            <w:tcW w:type="dxa" w:w="1312"/>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1.8</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Pest</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active infestation</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Inspection 22/07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BI</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1.9</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Flood</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flood affected</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response 25/07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1.10</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Bushfire</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bushfire prone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1.11</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Contamination</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recorded notices</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EPA search 25/07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1.12</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Swimming pool</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applicable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n/a</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DF1F7"/>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4C5B73"/>
                <w:sz w:val="17"/>
                <w:u w:val="none"/>
              </w:rPr>
              <w:t>–  N/A</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1.13</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Tenancy agreement</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Fixed to 14/11/2026 at $740/week</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Lease provided 20/07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1.14</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building approvals</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Awaiting council response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Requested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1.15</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service diagram</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Awaiting Sydney Water</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Requested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r>
        <w:trPr>
          <w:cantSplit/>
        </w:trPr>
        <w:tc>
          <w:tcPr>
            <w:tcW w:type="dxa" w:w="80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1.16</w:t>
            </w:r>
          </w:p>
        </w:tc>
        <w:tc>
          <w:tcPr>
            <w:tcW w:type="dxa" w:w="211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Road widening proposal</w:t>
            </w:r>
          </w:p>
        </w:tc>
        <w:tc>
          <w:tcPr>
            <w:tcW w:type="dxa" w:w="2826"/>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Awaiting council response</w:t>
            </w:r>
          </w:p>
        </w:tc>
        <w:tc>
          <w:tcPr>
            <w:tcW w:type="dxa" w:w="191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Requested 24/07</w:t>
            </w:r>
          </w:p>
        </w:tc>
        <w:tc>
          <w:tcPr>
            <w:tcW w:type="dxa" w:w="1110"/>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RP</w:t>
            </w:r>
          </w:p>
        </w:tc>
        <w:tc>
          <w:tcPr>
            <w:tcW w:type="dxa" w:w="1312"/>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Pending</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2   </w:t>
      </w:r>
      <w:r>
        <w:rPr>
          <w:rFonts w:ascii="Calibri" w:hAnsi="Calibri" w:cs="Calibri" w:eastAsia="Calibri"/>
          <w:b w:val="0"/>
          <w:i w:val="0"/>
          <w:color w:val="0C2340"/>
          <w:sz w:val="34"/>
          <w:u w:val="none"/>
        </w:rPr>
        <w:t>Title &amp; ownership</w:t>
      </w:r>
    </w:p>
    <w:p>
      <w:pPr>
        <w:keepNext/>
        <w:keepLines/>
        <w:pageBreakBefore w:val="0"/>
        <w:widowControl w:val="1"/>
        <w:spacing w:before="0" w:after="100"/>
      </w:pPr>
      <w:r>
        <w:rPr>
          <w:rFonts w:ascii="Calibri" w:hAnsi="Calibri" w:cs="Calibri" w:eastAsia="Calibri"/>
          <w:b/>
          <w:i w:val="0"/>
          <w:caps w:val="1"/>
          <w:color w:val="4C5B73"/>
          <w:spacing w:val="26"/>
          <w:sz w:val="15"/>
          <w:u w:val="none"/>
        </w:rPr>
        <w:t>What the title shows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Title particulars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Title particulars"/>
        <w:tblDescription w:val="Columns: Particular, Detail, Source, Effect"/>
      </w:tblPr>
      <w:tblGrid>
        <w:gridCol w:w="2107"/>
        <w:gridCol w:w="3438"/>
        <w:gridCol w:w="2218"/>
        <w:gridCol w:w="2329"/>
      </w:tblGrid>
      <w:tr>
        <w:trPr>
          <w:cantSplit/>
          <w:trHeight w:val="420" w:hRule="atLeast"/>
          <w:tblHeader/>
        </w:trPr>
        <w:tc>
          <w:tcPr>
            <w:tcW w:type="dxa" w:w="210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Particular</w:t>
            </w:r>
          </w:p>
        </w:tc>
        <w:tc>
          <w:tcPr>
            <w:tcW w:type="dxa" w:w="343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Detail</w:t>
            </w:r>
          </w:p>
        </w:tc>
        <w:tc>
          <w:tcPr>
            <w:tcW w:type="dxa" w:w="2218"/>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2329"/>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Effect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Folio identifier</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12/456789</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Registered proprietors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Two, joint tenants</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Both must execute</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Tenure</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Fee simple (Torrens)</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Mortgages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One registered, to be discharged</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Discharge on settlement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Caveats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Covenants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Positive covenant — shared retaining wall maintenance</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Ongoing obligation to the purchaser</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Easements</w:t>
            </w:r>
          </w:p>
        </w:tc>
        <w:tc>
          <w:tcPr>
            <w:tcW w:type="dxa" w:w="343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easement, rear 1.5m</w:t>
            </w:r>
          </w:p>
        </w:tc>
        <w:tc>
          <w:tcPr>
            <w:tcW w:type="dxa" w:w="2218"/>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diagram 29/07/2026</w:t>
            </w:r>
          </w:p>
        </w:tc>
        <w:tc>
          <w:tcPr>
            <w:tcW w:type="dxa" w:w="2329"/>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Restricts rear building envelope</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3   </w:t>
      </w:r>
      <w:r>
        <w:rPr>
          <w:rFonts w:ascii="Calibri" w:hAnsi="Calibri" w:cs="Calibri" w:eastAsia="Calibri"/>
          <w:b w:val="0"/>
          <w:i w:val="0"/>
          <w:color w:val="0C2340"/>
          <w:sz w:val="34"/>
          <w:u w:val="none"/>
        </w:rPr>
        <w:t>Planning &amp; zoning</w:t>
      </w:r>
    </w:p>
    <w:p>
      <w:pPr>
        <w:keepNext/>
        <w:keepLines/>
        <w:pageBreakBefore w:val="0"/>
        <w:widowControl w:val="1"/>
        <w:spacing w:before="0" w:after="100"/>
      </w:pPr>
      <w:r>
        <w:rPr>
          <w:rFonts w:ascii="Calibri" w:hAnsi="Calibri" w:cs="Calibri" w:eastAsia="Calibri"/>
          <w:b/>
          <w:i w:val="0"/>
          <w:caps w:val="1"/>
          <w:color w:val="4C5B73"/>
          <w:spacing w:val="26"/>
          <w:sz w:val="15"/>
          <w:u w:val="none"/>
        </w:rPr>
        <w:t>What may be done with the land</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Planning controls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lanning controls"/>
        <w:tblDescription w:val="Columns: Control, Position, Source, Effect"/>
      </w:tblPr>
      <w:tblGrid>
        <w:gridCol w:w="2107"/>
        <w:gridCol w:w="3105"/>
        <w:gridCol w:w="2440"/>
        <w:gridCol w:w="2440"/>
      </w:tblGrid>
      <w:tr>
        <w:trPr>
          <w:cantSplit/>
          <w:trHeight w:val="420" w:hRule="atLeast"/>
          <w:tblHeader/>
        </w:trPr>
        <w:tc>
          <w:tcPr>
            <w:tcW w:type="dxa" w:w="210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Control</w:t>
            </w:r>
          </w:p>
        </w:tc>
        <w:tc>
          <w:tcPr>
            <w:tcW w:type="dxa" w:w="310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2440"/>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2440"/>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Effect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Zone</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R2 Low Density Residential</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Dwelling permitted with consent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Minimum lot size</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550 m²</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512 m² — subdivision not available</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Height of buildings</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8.5 m</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Two storeys achievable</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Floor space ratio</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0.5:1</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256 m² gross floor area</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Heritage</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listed; not in a conservation area</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heritage constraint</w:t>
            </w:r>
          </w:p>
        </w:tc>
      </w:tr>
      <w:tr>
        <w:trPr>
          <w:cantSplit/>
          <w:trHeight w:val="397" w:hRule="atLeast"/>
        </w:trPr>
        <w:tc>
          <w:tcPr>
            <w:tcW w:type="dxa" w:w="21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Acid sulfate soils</w:t>
            </w:r>
          </w:p>
        </w:tc>
        <w:tc>
          <w:tcPr>
            <w:tcW w:type="dxa" w:w="310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Class 5</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 24/07/2026</w:t>
            </w:r>
          </w:p>
        </w:tc>
        <w:tc>
          <w:tcPr>
            <w:tcW w:type="dxa" w:w="2440"/>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Consent required for works below 1m</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4   </w:t>
      </w:r>
      <w:r>
        <w:rPr>
          <w:rFonts w:ascii="Calibri" w:hAnsi="Calibri" w:cs="Calibri" w:eastAsia="Calibri"/>
          <w:b w:val="0"/>
          <w:i w:val="0"/>
          <w:color w:val="0C2340"/>
          <w:sz w:val="34"/>
          <w:u w:val="none"/>
        </w:rPr>
        <w:t>Building &amp; pest</w:t>
      </w:r>
    </w:p>
    <w:p>
      <w:pPr>
        <w:keepNext/>
        <w:keepLines/>
        <w:pageBreakBefore w:val="0"/>
        <w:widowControl w:val="1"/>
        <w:spacing w:before="0" w:after="100"/>
      </w:pPr>
      <w:r>
        <w:rPr>
          <w:rFonts w:ascii="Calibri" w:hAnsi="Calibri" w:cs="Calibri" w:eastAsia="Calibri"/>
          <w:b/>
          <w:i w:val="0"/>
          <w:caps w:val="1"/>
          <w:color w:val="4C5B73"/>
          <w:spacing w:val="26"/>
          <w:sz w:val="15"/>
          <w:u w:val="none"/>
        </w:rPr>
        <w:t>Physical condition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Building and pest findings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Building and pest findings"/>
        <w:tblDescription w:val="Columns: Ref, Element, Finding, Severity, Est. cost, Status"/>
      </w:tblPr>
      <w:tblGrid>
        <w:gridCol w:w="824"/>
        <w:gridCol w:w="2059"/>
        <w:gridCol w:w="3192"/>
        <w:gridCol w:w="1339"/>
        <w:gridCol w:w="1339"/>
        <w:gridCol w:w="1339"/>
      </w:tblGrid>
      <w:tr>
        <w:trPr>
          <w:cantSplit/>
          <w:tblHeader/>
        </w:trPr>
        <w:tc>
          <w:tcPr>
            <w:tcW w:type="dxa" w:w="82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05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Element</w:t>
            </w:r>
          </w:p>
        </w:tc>
        <w:tc>
          <w:tcPr>
            <w:tcW w:type="dxa" w:w="319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Finding</w:t>
            </w:r>
          </w:p>
        </w:tc>
        <w:tc>
          <w:tcPr>
            <w:tcW w:type="dxa" w:w="13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Severity</w:t>
            </w:r>
          </w:p>
        </w:tc>
        <w:tc>
          <w:tcPr>
            <w:tcW w:type="dxa" w:w="13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Est. cost</w:t>
            </w:r>
          </w:p>
        </w:tc>
        <w:tc>
          <w:tcPr>
            <w:tcW w:type="dxa" w:w="13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4.1</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Roof and gutters</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Serviceable; gutters require cleaning</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Minor</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$400</w:t>
            </w:r>
          </w:p>
        </w:tc>
        <w:tc>
          <w:tcPr>
            <w:tcW w:type="dxa" w:w="133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4.2</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Rear wall</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Rising damp, active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Major</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$6,500</w:t>
            </w:r>
          </w:p>
        </w:tc>
        <w:tc>
          <w:tcPr>
            <w:tcW w:type="dxa" w:w="1339"/>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3261E"/>
                <w:sz w:val="17"/>
                <w:u w:val="none"/>
              </w:rPr>
              <w:t>✕  Fail</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4.3</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Subfloor</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Adequate ventilation, dry</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33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4.4</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Wet areas</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Original; waterproofing at end of life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Moderate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$9,000</w:t>
            </w:r>
          </w:p>
        </w:tc>
        <w:tc>
          <w:tcPr>
            <w:tcW w:type="dxa" w:w="1339"/>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B26A00"/>
                <w:sz w:val="17"/>
                <w:u w:val="none"/>
              </w:rPr>
              <w:t>!  Review</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4.5</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Electrical</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Switchboard has RCD protection</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33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2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4.6</w:t>
            </w:r>
          </w:p>
        </w:tc>
        <w:tc>
          <w:tcPr>
            <w:tcW w:type="dxa" w:w="205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Timber pests</w:t>
            </w:r>
          </w:p>
        </w:tc>
        <w:tc>
          <w:tcPr>
            <w:tcW w:type="dxa" w:w="319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active infestation; no prior damage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None</w:t>
            </w:r>
          </w:p>
        </w:tc>
        <w:tc>
          <w:tcPr>
            <w:tcW w:type="dxa" w:w="13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1339"/>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5   </w:t>
      </w:r>
      <w:r>
        <w:rPr>
          <w:rFonts w:ascii="Calibri" w:hAnsi="Calibri" w:cs="Calibri" w:eastAsia="Calibri"/>
          <w:b w:val="0"/>
          <w:i w:val="0"/>
          <w:color w:val="0C2340"/>
          <w:sz w:val="34"/>
          <w:u w:val="none"/>
        </w:rPr>
        <w:t>Environmental &amp; hazard</w:t>
      </w:r>
    </w:p>
    <w:p>
      <w:pPr>
        <w:keepNext/>
        <w:keepLines/>
        <w:pageBreakBefore w:val="0"/>
        <w:widowControl w:val="1"/>
        <w:spacing w:before="0" w:after="100"/>
      </w:pPr>
      <w:r>
        <w:rPr>
          <w:rFonts w:ascii="Calibri" w:hAnsi="Calibri" w:cs="Calibri" w:eastAsia="Calibri"/>
          <w:b/>
          <w:i w:val="0"/>
          <w:caps w:val="1"/>
          <w:color w:val="4C5B73"/>
          <w:spacing w:val="26"/>
          <w:sz w:val="15"/>
          <w:u w:val="none"/>
        </w:rPr>
        <w:t>External risk</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Hazard searches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Hazard searches"/>
        <w:tblDescription w:val="Columns: Ref, Hazard, Position, Source, Status"/>
      </w:tblPr>
      <w:tblGrid>
        <w:gridCol w:w="878"/>
        <w:gridCol w:w="2194"/>
        <w:gridCol w:w="3181"/>
        <w:gridCol w:w="2413"/>
        <w:gridCol w:w="1426"/>
      </w:tblGrid>
      <w:tr>
        <w:trPr>
          <w:cantSplit/>
          <w:tblHeader/>
        </w:trPr>
        <w:tc>
          <w:tcPr>
            <w:tcW w:type="dxa" w:w="87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2194"/>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Hazard</w:t>
            </w:r>
          </w:p>
        </w:tc>
        <w:tc>
          <w:tcPr>
            <w:tcW w:type="dxa" w:w="3181"/>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Position</w:t>
            </w:r>
          </w:p>
        </w:tc>
        <w:tc>
          <w:tcPr>
            <w:tcW w:type="dxa" w:w="241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Source</w:t>
            </w:r>
          </w:p>
        </w:tc>
        <w:tc>
          <w:tcPr>
            <w:tcW w:type="dxa" w:w="1426"/>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5.1</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Flood</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flood affected</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response 25/07/2026</w:t>
            </w:r>
          </w:p>
        </w:tc>
        <w:tc>
          <w:tcPr>
            <w:tcW w:type="dxa" w:w="1426"/>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5.2</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Bushfire</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bushfire prone</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w:t>
            </w:r>
          </w:p>
        </w:tc>
        <w:tc>
          <w:tcPr>
            <w:tcW w:type="dxa" w:w="1426"/>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5.3</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Contamination</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 recorded notices</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EPA record search</w:t>
            </w:r>
          </w:p>
        </w:tc>
        <w:tc>
          <w:tcPr>
            <w:tcW w:type="dxa" w:w="1426"/>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5.4</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Mine subsidence</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in a declared district</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Subsidence search</w:t>
            </w:r>
          </w:p>
        </w:tc>
        <w:tc>
          <w:tcPr>
            <w:tcW w:type="dxa" w:w="1426"/>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Clear</w:t>
            </w:r>
          </w:p>
        </w:tc>
      </w:tr>
      <w:tr>
        <w:trPr>
          <w:cantSplit/>
        </w:trPr>
        <w:tc>
          <w:tcPr>
            <w:tcW w:type="dxa" w:w="878"/>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5.5</w:t>
            </w:r>
          </w:p>
        </w:tc>
        <w:tc>
          <w:tcPr>
            <w:tcW w:type="dxa" w:w="2194"/>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Coastal erosion</w:t>
            </w:r>
          </w:p>
        </w:tc>
        <w:tc>
          <w:tcPr>
            <w:tcW w:type="dxa" w:w="3181"/>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Not applicable</w:t>
            </w:r>
          </w:p>
        </w:tc>
        <w:tc>
          <w:tcPr>
            <w:tcW w:type="dxa" w:w="2413"/>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n/a</w:t>
            </w:r>
          </w:p>
        </w:tc>
        <w:tc>
          <w:tcPr>
            <w:tcW w:type="dxa" w:w="1426"/>
            <w:tcBorders>
              <w:top w:val="nil"/>
              <w:left w:val="nil"/>
              <w:bottom w:val="single" w:sz="4" w:space="0" w:color="DCE3ED"/>
              <w:right w:val="nil"/>
            </w:tcBorders>
            <w:shd w:val="clear" w:color="auto" w:fill="EDF1F7"/>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4C5B73"/>
                <w:sz w:val="17"/>
                <w:u w:val="none"/>
              </w:rPr>
              <w:t>–  N/A</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1D6FE0"/>
          <w:sz w:val="34"/>
          <w:u w:val="none"/>
        </w:rPr>
        <w:t xml:space="preserve">7   </w:t>
      </w:r>
      <w:r>
        <w:rPr>
          <w:rFonts w:ascii="Calibri" w:hAnsi="Calibri" w:cs="Calibri" w:eastAsia="Calibri"/>
          <w:b w:val="0"/>
          <w:i w:val="0"/>
          <w:color w:val="0C2340"/>
          <w:sz w:val="34"/>
          <w:u w:val="none"/>
        </w:rPr>
        <w:t>Outstanding items</w:t>
      </w:r>
    </w:p>
    <w:p>
      <w:pPr>
        <w:keepNext/>
        <w:keepLines/>
        <w:pageBreakBefore w:val="0"/>
        <w:widowControl w:val="1"/>
        <w:spacing w:before="0" w:after="100"/>
      </w:pPr>
      <w:r>
        <w:rPr>
          <w:rFonts w:ascii="Calibri" w:hAnsi="Calibri" w:cs="Calibri" w:eastAsia="Calibri"/>
          <w:b/>
          <w:i w:val="0"/>
          <w:caps w:val="1"/>
          <w:color w:val="4C5B73"/>
          <w:spacing w:val="26"/>
          <w:sz w:val="15"/>
          <w:u w:val="none"/>
        </w:rPr>
        <w:t>Before exchange</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Outstanding</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 Item, Owner, Due, Status"/>
      </w:tblPr>
      <w:tblGrid>
        <w:gridCol w:w="444"/>
        <w:gridCol w:w="5101"/>
        <w:gridCol w:w="1774"/>
        <w:gridCol w:w="1331"/>
        <w:gridCol w:w="1442"/>
      </w:tblGrid>
      <w:tr>
        <w:trPr>
          <w:cantSplit/>
          <w:trHeight w:val="420" w:hRule="atLeast"/>
          <w:tblHeader/>
        </w:trPr>
        <w:tc>
          <w:tcPr>
            <w:tcW w:type="dxa" w:w="44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p>
        </w:tc>
        <w:tc>
          <w:tcPr>
            <w:tcW w:type="dxa" w:w="510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Item</w:t>
            </w:r>
          </w:p>
        </w:tc>
        <w:tc>
          <w:tcPr>
            <w:tcW w:type="dxa" w:w="177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Owner</w:t>
            </w:r>
          </w:p>
        </w:tc>
        <w:tc>
          <w:tcPr>
            <w:tcW w:type="dxa" w:w="1331"/>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Due</w:t>
            </w:r>
          </w:p>
        </w:tc>
        <w:tc>
          <w:tcPr>
            <w:tcW w:type="dxa" w:w="1442"/>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building-approval history — requested 24/07, response outstanding.</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Sydney Water sewer service diagram — requested 24/07, response outstanding.</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r>
        <w:trPr>
          <w:cantSplit/>
          <w:trHeight w:val="397" w:hRule="atLeast"/>
        </w:trPr>
        <w:tc>
          <w:tcPr>
            <w:tcW w:type="dxa" w:w="44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c>
          <w:tcPr>
            <w:tcW w:type="dxa" w:w="510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Council road-widening proposal search — requested 24/07, response outstanding.</w:t>
            </w:r>
          </w:p>
        </w:tc>
        <w:tc>
          <w:tcPr>
            <w:tcW w:type="dxa" w:w="177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{{task.owner}}</w:t>
            </w:r>
          </w:p>
        </w:tc>
        <w:tc>
          <w:tcPr>
            <w:tcW w:type="dxa" w:w="1331"/>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{{task.due}}</w:t>
            </w:r>
          </w:p>
        </w:tc>
        <w:tc>
          <w:tcPr>
            <w:tcW w:type="dxa" w:w="1442"/>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p>
        </w:tc>
      </w:tr>
    </w:tbl>
    <w:p>
      <w:pPr>
        <w:keepNext w:val="0"/>
        <w:keepLines/>
        <w:pageBreakBefore w:val="0"/>
        <w:widowControl w:val="1"/>
        <w:spacing w:before="0" w:after="0" w:line="160" w:lineRule="exact"/>
      </w:pPr>
      <w:r>
        <w:rPr>
          <w:sz w:val="2"/>
        </w:rPr>
      </w:r>
    </w:p>
    <w:p>
      <w:pPr>
        <w:keepNext/>
        <w:keepLines/>
        <w:pageBreakBefore w:val="0"/>
        <w:widowControl w:val="1"/>
        <w:spacing w:before="0" w:after="60"/>
      </w:pPr>
      <w:r>
        <w:rPr>
          <w:rFonts w:ascii="Calibri" w:hAnsi="Calibri" w:cs="Calibri" w:eastAsia="Calibri"/>
          <w:b w:val="0"/>
          <w:i w:val="0"/>
          <w:color w:val="1D6FE0"/>
          <w:sz w:val="34"/>
          <w:u w:val="none"/>
        </w:rPr>
        <w:t xml:space="preserve">8   </w:t>
      </w:r>
      <w:r>
        <w:rPr>
          <w:rFonts w:ascii="Calibri" w:hAnsi="Calibri" w:cs="Calibri" w:eastAsia="Calibri"/>
          <w:b w:val="0"/>
          <w:i w:val="0"/>
          <w:color w:val="0C2340"/>
          <w:sz w:val="34"/>
          <w:u w:val="none"/>
        </w:rPr>
        <w:t>Risks &amp; mitigations</w:t>
      </w:r>
    </w:p>
    <w:p>
      <w:pPr>
        <w:keepNext/>
        <w:keepLines/>
        <w:pageBreakBefore w:val="0"/>
        <w:widowControl w:val="1"/>
        <w:spacing w:before="0" w:after="100"/>
      </w:pPr>
      <w:r>
        <w:rPr>
          <w:rFonts w:ascii="Calibri" w:hAnsi="Calibri" w:cs="Calibri" w:eastAsia="Calibri"/>
          <w:b/>
          <w:i w:val="0"/>
          <w:caps w:val="1"/>
          <w:color w:val="4C5B73"/>
          <w:spacing w:val="26"/>
          <w:sz w:val="15"/>
          <w:u w:val="none"/>
        </w:rPr>
        <w:t>Residual position</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26"/>
          <w:sz w:val="15"/>
          <w:u w:val="none"/>
        </w:rPr>
        <w:t>Risks and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nd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Rising damp to the rear wall, active</w:t>
            </w:r>
          </w:p>
        </w:tc>
        <w:tc>
          <w:tcPr>
            <w:tcW w:type="dxa" w:w="1413"/>
            <w:tcBorders>
              <w:top w:val="nil"/>
              <w:left w:val="nil"/>
              <w:bottom w:val="single" w:sz="4" w:space="0" w:color="DCE3ED"/>
              <w:right w:val="nil"/>
            </w:tcBorders>
            <w:shd w:val="clear" w:color="auto" w:fill="FBECEA"/>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Fixed-price rectification quote obtained at $6,500. Negotiate a price reduction of no less than that amount, or make exchange conditional on rectification.</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Positive covenant — shared retaining wall maintenance</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Obtain the covenant terms and confirm the current state of the wall. Budget for a share of future maintenance.</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Wet-area waterproofing at end of life</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Not a defect today. Budget $9,000 within three years.</w:t>
            </w:r>
          </w:p>
        </w:tc>
      </w:tr>
      <w:tr>
        <w:trPr>
          <w:cantSplit/>
        </w:trPr>
        <w:tc>
          <w:tcPr>
            <w:tcW w:type="dxa" w:w="4037"/>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Three searches outstanding at the date of this report</w:t>
            </w:r>
          </w:p>
        </w:tc>
        <w:tc>
          <w:tcPr>
            <w:tcW w:type="dxa" w:w="1413"/>
            <w:tcBorders>
              <w:top w:val="nil"/>
              <w:left w:val="nil"/>
              <w:bottom w:val="single" w:sz="4" w:space="0" w:color="DCE3ED"/>
              <w:right w:val="nil"/>
            </w:tcBorders>
            <w:shd w:val="clear" w:color="auto" w:fill="FBF1E0"/>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Do not exchange before all three are received and reviewed.</w:t>
            </w:r>
          </w:p>
        </w:tc>
      </w:tr>
    </w:tbl>
    <w:p>
      <w:pPr>
        <w:keepNext w:val="0"/>
        <w:keepLines/>
        <w:pageBreakBefore w:val="0"/>
        <w:widowControl w:val="1"/>
        <w:spacing w:before="0" w:after="0" w:line="16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6" w:space="0" w:color="1D6FE0"/>
              <w:left w:val="single" w:sz="26" w:space="0" w:color="1D6FE0"/>
              <w:bottom w:val="single" w:sz="6" w:space="0" w:color="1D6FE0"/>
              <w:right w:val="single" w:sz="6" w:space="0" w:color="1D6FE0"/>
            </w:tcBorders>
            <w:shd w:val="clear" w:color="auto" w:fill="F2F7FE"/>
            <w:tcMar>
              <w:top w:w="162" w:type="dxa"/>
              <w:left w:w="189" w:type="dxa"/>
              <w:bottom w:w="162" w:type="dxa"/>
              <w:right w:w="189" w:type="dxa"/>
            </w:tcMar>
          </w:tcPr>
          <w:p>
            <w:pPr>
              <w:keepNext/>
              <w:keepLines/>
              <w:pageBreakBefore w:val="0"/>
              <w:widowControl w:val="1"/>
              <w:spacing w:before="0" w:after="100"/>
            </w:pPr>
            <w:r>
              <w:rPr>
                <w:rFonts w:ascii="Calibri" w:hAnsi="Calibri" w:cs="Calibri" w:eastAsia="Calibri"/>
                <w:b/>
                <w:i w:val="0"/>
                <w:caps w:val="1"/>
                <w:color w:val="1D6FE0"/>
                <w:spacing w:val="26"/>
                <w:sz w:val="15"/>
                <w:u w:val="none"/>
              </w:rPr>
              <w:t>CONCLUSION</w:t>
            </w:r>
            <w:r>
              <w:rPr>
                <w:rFonts w:ascii="Calibri" w:hAnsi="Calibri" w:cs="Calibri" w:eastAsia="Calibri"/>
                <w:b/>
                <w:i w:val="0"/>
                <w:caps w:val="1"/>
                <w:color w:val="4C5B73"/>
                <w:spacing w:val="24"/>
                <w:sz w:val="14"/>
                <w:u w:val="none"/>
              </w:rPr>
              <w:t xml:space="preserve">     CONFIDENCE: HIGH</w:t>
            </w:r>
          </w:p>
          <w:p>
            <w:pPr>
              <w:keepNext w:val="0"/>
              <w:keepLines/>
              <w:pageBreakBefore w:val="0"/>
              <w:widowControl w:val="1"/>
              <w:spacing w:before="0" w:after="120" w:line="298" w:lineRule="auto"/>
            </w:pPr>
            <w:r>
              <w:rPr>
                <w:rFonts w:ascii="Calibri" w:hAnsi="Calibri" w:cs="Calibri" w:eastAsia="Calibri"/>
                <w:b/>
                <w:i w:val="0"/>
                <w:color w:val="0C2340"/>
                <w:sz w:val="22"/>
                <w:u w:val="none"/>
              </w:rPr>
              <w:t>Proceed with conditions. Do not exchange until the three outstanding searches are received, and adjust the price by no less than $6,500 for the damp rectification.</w:t>
            </w:r>
          </w:p>
          <w:p>
            <w:pPr>
              <w:keepNext w:val="0"/>
              <w:keepLines/>
              <w:pageBreakBefore w:val="0"/>
              <w:widowControl w:val="1"/>
              <w:spacing w:before="0" w:after="0" w:line="312" w:lineRule="auto"/>
            </w:pPr>
            <w:r>
              <w:rPr>
                <w:rFonts w:ascii="Calibri" w:hAnsi="Calibri" w:cs="Calibri" w:eastAsia="Calibri"/>
                <w:b w:val="0"/>
                <w:i w:val="0"/>
                <w:color w:val="10192A"/>
                <w:sz w:val="17"/>
                <w:u w:val="none"/>
              </w:rPr>
              <w:t>Nothing found in the investigation is a reason to withdraw. Two findings are quantifiable and are best handled commercially rather than as contract conditions; the three outstanding searches are routine and are expected to return clear.</w:t>
            </w:r>
          </w:p>
          <w:p>
            <w:pPr>
              <w:keepNext w:val="0"/>
              <w:keepLines/>
              <w:pageBreakBefore w:val="0"/>
              <w:widowControl w:val="1"/>
              <w:spacing w:before="0" w:after="0" w:line="14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Next steps</w:t>
            </w:r>
          </w:p>
          <w:p>
            <w:pPr>
              <w:keepNext w:val="0"/>
              <w:keepLines/>
              <w:pageBreakBefore w:val="0"/>
              <w:widowControl w:val="1"/>
              <w:tabs>
                <w:tab w:val="left" w:pos="320"/>
              </w:tabs>
              <w:spacing w:before="0" w:after="0" w:line="312" w:lineRule="auto"/>
              <w:ind w:left="320" w:hanging="320"/>
            </w:pPr>
            <w:r>
              <w:rPr>
                <w:rFonts w:ascii="Calibri" w:hAnsi="Calibri" w:cs="Calibri" w:eastAsia="Calibri"/>
                <w:b/>
                <w:i w:val="0"/>
                <w:color w:val="1D6FE0"/>
                <w:sz w:val="19"/>
                <w:u w:val="none"/>
              </w:rPr>
              <w:t>1.</w:t>
            </w:r>
            <w:r>
              <w:rPr>
                <w:rFonts w:ascii="Calibri" w:hAnsi="Calibri" w:cs="Calibri" w:eastAsia="Calibri"/>
                <w:b w:val="0"/>
                <w:i w:val="0"/>
                <w:color w:val="10192A"/>
                <w:sz w:val="19"/>
                <w:u w:val="none"/>
              </w:rPr>
              <w:tab/>
              <w:t>Obtain the three outstanding search responses.</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2.</w:t>
            </w:r>
            <w:r>
              <w:rPr>
                <w:rFonts w:ascii="Calibri" w:hAnsi="Calibri" w:cs="Calibri" w:eastAsia="Calibri"/>
                <w:b w:val="0"/>
                <w:i w:val="0"/>
                <w:color w:val="10192A"/>
                <w:sz w:val="19"/>
                <w:u w:val="none"/>
              </w:rPr>
              <w:tab/>
              <w:t>Negotiate the price adjustment for damp rectification.</w:t>
            </w:r>
          </w:p>
          <w:p>
            <w:pPr>
              <w:keepNext w:val="0"/>
              <w:keepLines/>
              <w:pageBreakBefore w:val="0"/>
              <w:widowControl w:val="1"/>
              <w:tabs>
                <w:tab w:val="left" w:pos="320"/>
              </w:tabs>
              <w:spacing w:before="80" w:after="0" w:line="312" w:lineRule="auto"/>
              <w:ind w:left="320" w:hanging="320"/>
            </w:pPr>
            <w:r>
              <w:rPr>
                <w:rFonts w:ascii="Calibri" w:hAnsi="Calibri" w:cs="Calibri" w:eastAsia="Calibri"/>
                <w:b/>
                <w:i w:val="0"/>
                <w:color w:val="1D6FE0"/>
                <w:sz w:val="19"/>
                <w:u w:val="none"/>
              </w:rPr>
              <w:t>3.</w:t>
            </w:r>
            <w:r>
              <w:rPr>
                <w:rFonts w:ascii="Calibri" w:hAnsi="Calibri" w:cs="Calibri" w:eastAsia="Calibri"/>
                <w:b w:val="0"/>
                <w:i w:val="0"/>
                <w:color w:val="10192A"/>
                <w:sz w:val="19"/>
                <w:u w:val="none"/>
              </w:rPr>
              <w:tab/>
              <w:t>Instruct the conveyancer on the positive covenant.</w:t>
            </w:r>
          </w:p>
        </w:tc>
      </w:tr>
    </w:tbl>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26"/>
          <w:sz w:val="15"/>
          <w:u w:val="none"/>
        </w:rPr>
        <w:t>Approvals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Approvals"/>
        <w:tblDescription w:val="Columns: Role, Name, Date, Status"/>
      </w:tblPr>
      <w:tblGrid>
        <w:gridCol w:w="2865"/>
        <w:gridCol w:w="3239"/>
        <w:gridCol w:w="1869"/>
        <w:gridCol w:w="2118"/>
      </w:tblGrid>
      <w:tr>
        <w:trPr>
          <w:cantSplit/>
          <w:tblHeader/>
        </w:trPr>
        <w:tc>
          <w:tcPr>
            <w:tcW w:type="dxa" w:w="2865"/>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Role</w:t>
            </w:r>
          </w:p>
        </w:tc>
        <w:tc>
          <w:tcPr>
            <w:tcW w:type="dxa" w:w="323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Name</w:t>
            </w:r>
          </w:p>
        </w:tc>
        <w:tc>
          <w:tcPr>
            <w:tcW w:type="dxa" w:w="1869"/>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w:t>
            </w:r>
          </w:p>
        </w:tc>
        <w:tc>
          <w:tcPr>
            <w:tcW w:type="dxa" w:w="2118"/>
            <w:tcBorders>
              <w:top w:val="nil"/>
              <w:left w:val="nil"/>
              <w:bottom w:val="single" w:sz="8" w:space="0" w:color="1D6FE0"/>
              <w:right w:val="nil"/>
            </w:tcBorders>
            <w:shd w:val="clear" w:color="auto" w:fill="0C2340"/>
            <w:tcMar>
              <w:top w:w="90" w:type="dxa"/>
              <w:left w:w="126" w:type="dxa"/>
              <w:bottom w:w="90" w:type="dxa"/>
              <w:right w:w="126" w:type="dxa"/>
            </w:tcMar>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Status</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Prepared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 Patel, Buyer's Agent</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r>
        <w:trPr>
          <w:cantSplit/>
        </w:trPr>
        <w:tc>
          <w:tcPr>
            <w:tcW w:type="dxa" w:w="2865"/>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Reviewed by</w:t>
            </w:r>
          </w:p>
        </w:tc>
        <w:tc>
          <w:tcPr>
            <w:tcW w:type="dxa" w:w="323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 Nguyen, Principal</w:t>
            </w:r>
          </w:p>
        </w:tc>
        <w:tc>
          <w:tcPr>
            <w:tcW w:type="dxa" w:w="1869"/>
            <w:tcBorders>
              <w:top w:val="nil"/>
              <w:left w:val="nil"/>
              <w:bottom w:val="single" w:sz="4" w:space="0" w:color="DCE3ED"/>
              <w:right w:val="nil"/>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color w:val="8493A8"/>
                <w:sz w:val="17"/>
                <w:u w:val="none"/>
              </w:rPr>
              <w:t>{{approval.date}}</w:t>
            </w:r>
          </w:p>
        </w:tc>
        <w:tc>
          <w:tcPr>
            <w:tcW w:type="dxa" w:w="2118"/>
            <w:tcBorders>
              <w:top w:val="nil"/>
              <w:left w:val="nil"/>
              <w:bottom w:val="single" w:sz="4" w:space="0" w:color="DCE3ED"/>
              <w:right w:val="nil"/>
            </w:tcBorders>
            <w:shd w:val="clear" w:color="auto" w:fill="E6F6E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i w:val="0"/>
                <w:color w:val="0F8A5F"/>
                <w:sz w:val="17"/>
                <w:u w:val="none"/>
              </w:rPr>
              <w:t>✔  Complete</w:t>
            </w:r>
          </w:p>
        </w:tc>
      </w:tr>
    </w:tbl>
    <w:p>
      <w:pPr>
        <w:keepNext w:val="0"/>
        <w:keepLines/>
        <w:pageBreakBefore w:val="0"/>
        <w:widowControl w:val="1"/>
        <w:spacing w:before="0" w:after="0"/>
      </w:pPr>
      <w:r>
        <w:br w:type="page"/>
      </w:r>
    </w:p>
    <w:p>
      <w:pPr>
        <w:keepNext/>
        <w:keepLines/>
        <w:pageBreakBefore w:val="0"/>
        <w:widowControl w:val="1"/>
        <w:spacing w:before="0" w:after="80"/>
      </w:pPr>
      <w:r>
        <w:rPr>
          <w:rFonts w:ascii="Calibri" w:hAnsi="Calibri" w:cs="Calibri" w:eastAsia="Calibri"/>
          <w:b/>
          <w:i w:val="0"/>
          <w:caps w:val="1"/>
          <w:color w:val="1D6FE0"/>
          <w:spacing w:val="50"/>
          <w:sz w:val="15"/>
          <w:u w:val="none"/>
        </w:rPr>
        <w:t>APPENDIX A</w:t>
      </w:r>
    </w:p>
    <w:p>
      <w:pPr>
        <w:keepNext/>
        <w:keepLines/>
        <w:pageBreakBefore w:val="0"/>
        <w:widowControl w:val="1"/>
        <w:spacing w:before="0" w:after="120"/>
      </w:pPr>
      <w:r>
        <w:rPr>
          <w:rFonts w:ascii="Calibri" w:hAnsi="Calibri" w:cs="Calibri" w:eastAsia="Calibri"/>
          <w:b/>
          <w:i w:val="0"/>
          <w:color w:val="0C2340"/>
          <w:sz w:val="34"/>
          <w:u w:val="none"/>
        </w:rPr>
        <w:t>Evidence index</w:t>
      </w:r>
    </w:p>
    <w:p>
      <w:pPr>
        <w:keepNext w:val="0"/>
        <w:keepLines/>
        <w:pageBreakBefore w:val="0"/>
        <w:widowControl w:val="1"/>
        <w:pBdr>
          <w:bottom w:val="single" w:sz="10" w:space="1" w:color="1D6FE0"/>
        </w:pBdr>
        <w:spacing w:before="0" w:after="120" w:line="20" w:lineRule="exact"/>
      </w:pPr>
      <w:r>
        <w:rPr>
          <w:sz w:val="2"/>
        </w:rPr>
      </w:r>
    </w:p>
    <w:p>
      <w:pPr>
        <w:keepNext w:val="0"/>
        <w:keepLines/>
        <w:pageBreakBefore w:val="0"/>
        <w:widowControl w:val="1"/>
        <w:spacing w:before="0" w:after="0" w:line="312" w:lineRule="auto"/>
      </w:pPr>
      <w:r>
        <w:rPr>
          <w:rFonts w:ascii="Calibri" w:hAnsi="Calibri" w:cs="Calibri" w:eastAsia="Calibri"/>
          <w:b w:val="0"/>
          <w:i w:val="0"/>
          <w:color w:val="4C5B73"/>
          <w:sz w:val="19"/>
          <w:u w:val="none"/>
        </w:rPr>
        <w:t>Every document obtained for this investigation.</w:t>
      </w:r>
    </w:p>
    <w:p>
      <w:pPr>
        <w:keepNext w:val="0"/>
        <w:keepLines/>
        <w:pageBreakBefore w:val="0"/>
        <w:widowControl w:val="1"/>
        <w:spacing w:before="0" w:after="0" w:line="9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Data table"/>
        <w:tblDescription w:val="Columns: Ref, Document, Obtained from, Dated, Held"/>
      </w:tblPr>
      <w:tblGrid>
        <w:gridCol w:w="907"/>
        <w:gridCol w:w="3515"/>
        <w:gridCol w:w="2494"/>
        <w:gridCol w:w="1587"/>
        <w:gridCol w:w="1587"/>
      </w:tblGrid>
      <w:tr>
        <w:trPr>
          <w:cantSplit/>
          <w:trHeight w:val="420" w:hRule="atLeast"/>
          <w:tblHeader/>
        </w:trPr>
        <w:tc>
          <w:tcPr>
            <w:tcW w:type="dxa" w:w="90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Ref</w:t>
            </w:r>
          </w:p>
        </w:tc>
        <w:tc>
          <w:tcPr>
            <w:tcW w:type="dxa" w:w="3515"/>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Document</w:t>
            </w:r>
          </w:p>
        </w:tc>
        <w:tc>
          <w:tcPr>
            <w:tcW w:type="dxa" w:w="2494"/>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Obtained from</w:t>
            </w:r>
          </w:p>
        </w:tc>
        <w:tc>
          <w:tcPr>
            <w:tcW w:type="dxa" w:w="15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Dated</w:t>
            </w:r>
          </w:p>
        </w:tc>
        <w:tc>
          <w:tcPr>
            <w:tcW w:type="dxa" w:w="1587"/>
            <w:tcBorders>
              <w:top w:val="nil"/>
              <w:left w:val="single" w:sz="4" w:space="0" w:color="1D6FE0"/>
              <w:bottom w:val="single" w:sz="8" w:space="0" w:color="1D6FE0"/>
              <w:right w:val="single" w:sz="4" w:space="0" w:color="1D6FE0"/>
            </w:tcBorders>
            <w:shd w:val="clear" w:color="auto" w:fill="0C2340"/>
            <w:tcMar>
              <w:top w:w="90" w:type="dxa"/>
              <w:left w:w="126" w:type="dxa"/>
              <w:bottom w:w="90" w:type="dxa"/>
              <w:right w:w="126"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Held</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Title search</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Land registry</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DD-0418-01</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1.3</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Sewer service diagram</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Water authority</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29/07/2026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DD-0418-02</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1.4</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Planning certificate</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Local council</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24/07/2026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DD-0418-03</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1.6</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Building and pest report</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Licensed inspector</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22/07/2026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DD-0418-04</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1.11</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Contamination record search</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Environment authority</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25/07/2026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DD-0418-05</w:t>
            </w:r>
          </w:p>
        </w:tc>
      </w:tr>
      <w:tr>
        <w:trPr>
          <w:cantSplit/>
          <w:trHeight w:val="397" w:hRule="atLeast"/>
        </w:trPr>
        <w:tc>
          <w:tcPr>
            <w:tcW w:type="dxa" w:w="90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1.13</w:t>
            </w:r>
          </w:p>
        </w:tc>
        <w:tc>
          <w:tcPr>
            <w:tcW w:type="dxa" w:w="3515"/>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Residential tenancy agreement</w:t>
            </w:r>
          </w:p>
        </w:tc>
        <w:tc>
          <w:tcPr>
            <w:tcW w:type="dxa" w:w="2494"/>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Vendor's agent</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20/07/2026</w:t>
            </w:r>
          </w:p>
        </w:tc>
        <w:tc>
          <w:tcPr>
            <w:tcW w:type="dxa" w:w="1587"/>
            <w:tcBorders>
              <w:top w:val="single" w:sz="4" w:space="0" w:color="DCE3ED"/>
              <w:left w:val="single" w:sz="4" w:space="0" w:color="DCE3ED"/>
              <w:bottom w:val="single" w:sz="4" w:space="0" w:color="DCE3ED"/>
              <w:right w:val="single" w:sz="4" w:space="0" w:color="DCE3ED"/>
            </w:tcBorders>
            <w:shd w:val="clear" w:color="auto" w:fill="FFFFFF"/>
            <w:tcMar>
              <w:top w:w="90" w:type="dxa"/>
              <w:left w:w="126" w:type="dxa"/>
              <w:bottom w:w="90" w:type="dxa"/>
              <w:right w:w="126"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DD-0418-06</w:t>
            </w:r>
          </w:p>
        </w:tc>
      </w:tr>
    </w:tbl>
    <w:p>
      <w:pPr>
        <w:keepNext w:val="0"/>
        <w:keepLines/>
        <w:pageBreakBefore w:val="0"/>
        <w:widowControl w:val="1"/>
        <w:spacing w:before="0" w:after="0"/>
      </w:pPr>
      <w:r>
        <w:br w:type="page"/>
      </w:r>
    </w:p>
    <w:p>
      <w:pPr>
        <w:keepNext/>
        <w:keepLines/>
        <w:pageBreakBefore w:val="0"/>
        <w:widowControl w:val="1"/>
        <w:spacing w:before="0" w:after="60"/>
      </w:pPr>
      <w:r>
        <w:rPr>
          <w:rFonts w:ascii="Calibri" w:hAnsi="Calibri" w:cs="Calibri" w:eastAsia="Calibri"/>
          <w:b w:val="0"/>
          <w:i w:val="0"/>
          <w:color w:val="0C2340"/>
          <w:sz w:val="34"/>
          <w:u w:val="none"/>
        </w:rPr>
        <w:t>Important information</w:t>
      </w:r>
    </w:p>
    <w:p>
      <w:pPr>
        <w:keepNext/>
        <w:keepLines/>
        <w:pageBreakBefore w:val="0"/>
        <w:widowControl w:val="1"/>
        <w:spacing w:before="0" w:after="100"/>
      </w:pPr>
      <w:r>
        <w:rPr>
          <w:rFonts w:ascii="Calibri" w:hAnsi="Calibri" w:cs="Calibri" w:eastAsia="Calibri"/>
          <w:b/>
          <w:i w:val="0"/>
          <w:caps w:val="1"/>
          <w:color w:val="4C5B73"/>
          <w:spacing w:val="26"/>
          <w:sz w:val="15"/>
          <w:u w:val="none"/>
        </w:rPr>
        <w:t>Disclaimer, privacy and terms</w:t>
      </w:r>
    </w:p>
    <w:p>
      <w:pPr>
        <w:keepNext w:val="0"/>
        <w:keepLines/>
        <w:pageBreakBefore w:val="0"/>
        <w:widowControl w:val="1"/>
        <w:pBdr>
          <w:bottom w:val="single" w:sz="10" w:space="1" w:color="1D6FE0"/>
        </w:pBdr>
        <w:spacing w:before="0" w:after="0" w:line="20" w:lineRule="exact"/>
      </w:pPr>
      <w:r>
        <w:rPr>
          <w:sz w:val="2"/>
        </w:rPr>
      </w:r>
    </w:p>
    <w:p>
      <w:pPr>
        <w:keepNext w:val="0"/>
        <w:keepLines/>
        <w:pageBreakBefore w:val="0"/>
        <w:widowControl w:val="1"/>
        <w:spacing w:before="0" w:after="0" w:line="16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12"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12"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pPr>
          <w:r>
            <w:rPr>
              <w:rFonts w:ascii="Calibri" w:hAnsi="Calibri" w:cs="Calibri" w:eastAsia="Calibri"/>
              <w:b/>
              <w:i w:val="0"/>
              <w:caps w:val="1"/>
              <w:color w:val="1D6FE0"/>
              <w:spacing w:val="26"/>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single" w:sz="6" w:space="0" w:color="1D6FE0"/>
            <w:left w:val="nil"/>
            <w:bottom w:val="nil"/>
            <w:right w:val="nil"/>
          </w:tcBorders>
          <w:shd w:val="clear" w:color="auto" w:fill="F7F9FC"/>
          <w:tcMar>
            <w:top w:w="70" w:type="dxa"/>
            <w:left w:w="90" w:type="dxa"/>
            <w:bottom w:w="40" w:type="dxa"/>
            <w:right w:w="9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pPr>
          <w:r>
            <w:rPr>
              <w:rFonts w:ascii="Calibri" w:hAnsi="Calibri" w:cs="Calibri" w:eastAsia="Calibri"/>
              <w:b/>
              <w:i w:val="0"/>
              <w:caps w:val="1"/>
              <w:color w:val="4C5B73"/>
              <w:spacing w:val="26"/>
              <w:sz w:val="14"/>
              <w:u w:val="none"/>
            </w:rPr>
            <w:t>Aurixa Systems</w:t>
          </w:r>
        </w:p>
      </w:tc>
      <w:tc>
        <w:tcPr>
          <w:tcW w:type="dxa" w:w="5046"/>
          <w:tcBorders>
            <w:top w:val="nil"/>
            <w:left w:val="nil"/>
            <w:bottom w:val="single" w:sz="6" w:space="0" w:color="1D6FE0"/>
            <w:right w:val="nil"/>
          </w:tcBorders>
          <w:shd w:val="clear" w:color="auto" w:fill="EDF1F7"/>
          <w:tcMar>
            <w:top w:w="60" w:type="dxa"/>
            <w:left w:w="90" w:type="dxa"/>
            <w:bottom w:w="70" w:type="dxa"/>
            <w:right w:w="90" w:type="dxa"/>
          </w:tcMar>
        </w:tcPr>
        <w:p>
          <w:pPr>
            <w:keepNext w:val="0"/>
            <w:keepLines/>
            <w:pageBreakBefore w:val="0"/>
            <w:widowControl w:val="1"/>
            <w:spacing w:before="0" w:after="0"/>
            <w:jc w:val="right"/>
          </w:pPr>
          <w:r>
            <w:rPr>
              <w:rFonts w:ascii="Calibri" w:hAnsi="Calibri" w:cs="Calibri" w:eastAsia="Calibri"/>
              <w:b/>
              <w:i w:val="0"/>
              <w:caps w:val="1"/>
              <w:color w:val="4C5B73"/>
              <w:spacing w:val="26"/>
              <w:sz w:val="14"/>
              <w:u w:val="none"/>
            </w:rPr>
            <w:t>Property Due-Diligence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12"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Property Due-Diligence Report</dc:title>
  <dc:subject>Structured pre-exchange investigation: title, planning, building, environmental and contractual findings against a numbered checklist.</dc:subject>
  <dc:creator>Aurixa Systems</dc:creator>
  <cp:keywords>Due diligence, Pre-purchase investigation, Contract review, Property &amp; Buyer's Agency,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