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C2CDDC"/>
              <w:left w:val="single" w:sz="6" w:space="0" w:color="C2CDDC"/>
              <w:bottom w:val="single" w:sz="6" w:space="0" w:color="C2CDDC"/>
              <w:right w:val="single" w:sz="6" w:space="0" w:color="C2CDDC"/>
            </w:tcBorders>
            <w:shd w:val="clear" w:color="auto" w:fill="EDF1F7"/>
            <w:tcMar>
              <w:top w:w="1150" w:type="dxa"/>
              <w:left w:w="200" w:type="dxa"/>
              <w:bottom w:w="1150" w:type="dxa"/>
              <w:right w:w="20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COVER IMAGE  —  1600 × 900 px minimum  ]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{{property.images.0.caption}}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6690" w:hRule="atLeast"/>
        </w:trPr>
        <w:tc>
          <w:tcPr>
            <w:tcW w:type="dxa" w:w="10091"/>
            <w:tcBorders>
              <w:top w:val="single" w:sz="10" w:space="0" w:color="12B0CE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36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60"/>
                <w:sz w:val="16"/>
                <w:u w:val="none"/>
              </w:rPr>
              <w:t>Property investment analysis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{{property.address}}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RESEARCHED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MODELLED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RECOMMENDED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Contents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Investment metrics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Property overview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Location &amp; amenity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Financial analysis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Cash-flow projection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Comparable sales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Risks &amp; mitigations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09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Recommendation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The case in brief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2B0CE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{{report.executiveSummary}}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8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Investment metrics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Headline position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PURCHASE PRICE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GROSS YIELD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WEEKLY RENT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CASH REQUIRED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{{financials.price}}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Recommended maximum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{{financials.grossYield}}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On appraised rent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{{financials.weeklyRent}}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Appraised range $750–780</w:t>
            </w:r>
          </w:p>
        </w:tc>
        <w:tc>
          <w:tcPr>
            <w:tcW w:type="dxa" w:w="2523"/>
            <w:tcBorders>
              <w:bottom w:val="single" w:sz="8" w:space="0" w:color="12B0CE"/>
              <w:right w:val="nil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{{financials.cashRequired}}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Incl. costs, 20% deposit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Property overview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The asset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2B0CE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Property particulars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3"/>
              <w:gridCol w:w="2884"/>
              <w:gridCol w:w="1923"/>
              <w:gridCol w:w="2884"/>
            </w:tblGrid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Address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{{property.address}}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Property type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{{property.type}}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Land area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{{property.landArea}}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Building area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{{property.buildingArea}}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Bedrooms / bathrooms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{{property.bedBath}}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Car spaces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{{property.carSpaces}}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Year built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{{property.yearBuilt}}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Zoning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{{property.zoning}}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Current tenancy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{{property.tenancy}}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Condition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{{property.condition}}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961"/>
        <w:gridCol w:w="170"/>
        <w:gridCol w:w="4961"/>
      </w:tblGrid>
      <w:tr>
        <w:trPr>
          <w:cantSplit/>
          <w:trHeight w:val="2494" w:hRule="atLeast"/>
        </w:trPr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1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{{property.images.0.caption}}</w:t>
            </w:r>
          </w:p>
        </w:tc>
        <w:tc>
          <w:tcPr>
            <w:tcW w:type="dxa" w:w="170"/>
          </w:tcPr>
          <w:p/>
        </w:tc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2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{{property.images.1.caption}}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961"/>
        <w:gridCol w:w="170"/>
        <w:gridCol w:w="4961"/>
      </w:tblGrid>
      <w:tr>
        <w:trPr>
          <w:cantSplit/>
          <w:trHeight w:val="2494" w:hRule="atLeast"/>
        </w:trPr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3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{{property.images.2.caption}}</w:t>
            </w:r>
          </w:p>
        </w:tc>
        <w:tc>
          <w:tcPr>
            <w:tcW w:type="dxa" w:w="170"/>
          </w:tcPr>
          <w:p/>
        </w:tc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4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{{property.images.3.caption}}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Location &amp; amenity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Why here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4309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SUBJECT AND AMENITY MAP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Alt text: Map showing the subject property, transport, schools and retail</w:t>
      </w:r>
    </w:p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 xml:space="preserve">●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Subject property</w:t>
            </w:r>
          </w:p>
        </w:tc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7"/>
                <w:u w:val="none"/>
              </w:rPr>
              <w:t xml:space="preserve">▲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Rail</w:t>
            </w:r>
          </w:p>
        </w:tc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■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Schools</w:t>
            </w:r>
          </w:p>
        </w:tc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5B96EB"/>
                <w:sz w:val="17"/>
                <w:u w:val="none"/>
              </w:rPr>
              <w:t xml:space="preserve">◆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Retail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08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{{property.locationNarrative}}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Financial analysis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Acquisition and holding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Acquisition costs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cquisition costs"/>
        <w:tblDescription w:val="Columns: Item, Basis, Amount, Notes"/>
      </w:tblPr>
      <w:tblGrid>
        <w:gridCol w:w="2948"/>
        <w:gridCol w:w="2268"/>
        <w:gridCol w:w="1814"/>
        <w:gridCol w:w="3061"/>
      </w:tblGrid>
      <w:tr>
        <w:trPr>
          <w:cantSplit/>
          <w:trHeight w:val="420" w:hRule="atLeast"/>
          <w:tblHeader/>
        </w:trPr>
        <w:tc>
          <w:tcPr>
            <w:tcW w:type="dxa" w:w="294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Notes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{{notes}}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{{notes}}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{{notes}}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{{notes}}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{{notes}}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acquisition cost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81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{{financials.totalCost}}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Stamp duty is an estimate only and must be confirmed with the client's conveyancer. Figures exclude GST unless stated.</w:t>
      </w:r>
    </w:p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First-year holding position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irst-year holding position"/>
        <w:tblDescription w:val="Columns: Item, Annual, Weekly, Basis"/>
      </w:tblPr>
      <w:tblGrid>
        <w:gridCol w:w="3288"/>
        <w:gridCol w:w="1928"/>
        <w:gridCol w:w="1701"/>
        <w:gridCol w:w="3175"/>
      </w:tblGrid>
      <w:tr>
        <w:trPr>
          <w:cantSplit/>
          <w:trHeight w:val="420" w:hRule="atLeast"/>
          <w:tblHeader/>
        </w:trPr>
        <w:tc>
          <w:tcPr>
            <w:tcW w:type="dxa" w:w="328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Annual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Weekly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</w:tr>
      <w:tr>
        <w:trPr>
          <w:cantSplit/>
          <w:trHeight w:val="397" w:hRule="atLeast"/>
        </w:trPr>
        <w:tc>
          <w:tcPr>
            <w:tcW w:type="dxa" w:w="32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{{annual}}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{{weekly}}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</w:tr>
      <w:tr>
        <w:trPr>
          <w:cantSplit/>
          <w:trHeight w:val="397" w:hRule="atLeast"/>
        </w:trPr>
        <w:tc>
          <w:tcPr>
            <w:tcW w:type="dxa" w:w="32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{{annual}}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{{weekly}}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</w:tr>
      <w:tr>
        <w:trPr>
          <w:cantSplit/>
          <w:trHeight w:val="397" w:hRule="atLeast"/>
        </w:trPr>
        <w:tc>
          <w:tcPr>
            <w:tcW w:type="dxa" w:w="32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{{annual}}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{{weekly}}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</w:tr>
      <w:tr>
        <w:trPr>
          <w:cantSplit/>
          <w:trHeight w:val="397" w:hRule="atLeast"/>
        </w:trPr>
        <w:tc>
          <w:tcPr>
            <w:tcW w:type="dxa" w:w="32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{{annual}}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{{weekly}}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</w:tr>
      <w:tr>
        <w:trPr>
          <w:cantSplit/>
          <w:trHeight w:val="397" w:hRule="atLeast"/>
        </w:trPr>
        <w:tc>
          <w:tcPr>
            <w:tcW w:type="dxa" w:w="32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{{annual}}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{{weekly}}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</w:tr>
      <w:tr>
        <w:trPr>
          <w:cantSplit/>
          <w:trHeight w:val="397" w:hRule="atLeast"/>
        </w:trPr>
        <w:tc>
          <w:tcPr>
            <w:tcW w:type="dxa" w:w="32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{{annual}}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{{weekly}}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</w:tr>
      <w:tr>
        <w:trPr>
          <w:cantSplit/>
          <w:trHeight w:val="397" w:hRule="atLeast"/>
        </w:trPr>
        <w:tc>
          <w:tcPr>
            <w:tcW w:type="dxa" w:w="328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Pre-tax position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{{financials.preTax}}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{{financials.preTaxWeekly}}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06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Cash-flow projection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Ten-year view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515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Cumulative after-tax position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36"/>
                <w:sz w:val="15"/>
                <w:u w:val="none"/>
              </w:rPr>
              <w:t>[  LINE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{{cashflow.series}}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Ten years, nominal   ·   Source: {{cashflow.source}}   ·   Alt text: Cumulative after-tax net position turns positive in year six</w:t>
      </w:r>
    </w:p>
    <w:p>
      <w:pPr>
        <w:keepNext w:val="0"/>
        <w:keepLines/>
        <w:pageBreakBefore w:val="0"/>
        <w:widowControl w:val="1"/>
        <w:spacing w:before="0" w:after="0" w:line="108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2B0CE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Projection assumptions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3"/>
              <w:gridCol w:w="2884"/>
              <w:gridCol w:w="1923"/>
              <w:gridCol w:w="2884"/>
            </w:tblGrid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Capital growth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{{assumptions.growth}}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Rental growth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{{assumptions.rentGrowth}}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Interest rate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{{assumptions.rate}}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Vacancy allowance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{{assumptions.vacancy}}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Marginal tax rate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{{assumptions.taxRate}}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Depreciation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{{assumptions.depreciation}}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07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Comparable sales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Evidence for the price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Recent comparable sales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cent comparable sales"/>
        <w:tblDescription w:val="Columns: Address, Sold, Price, Land, Beds, Adjustment"/>
      </w:tblPr>
      <w:tblGrid>
        <w:gridCol w:w="2752"/>
        <w:gridCol w:w="1325"/>
        <w:gridCol w:w="1529"/>
        <w:gridCol w:w="1223"/>
        <w:gridCol w:w="917"/>
        <w:gridCol w:w="2344"/>
      </w:tblGrid>
      <w:tr>
        <w:trPr>
          <w:cantSplit/>
          <w:trHeight w:val="420" w:hRule="atLeast"/>
          <w:tblHeader/>
        </w:trPr>
        <w:tc>
          <w:tcPr>
            <w:tcW w:type="dxa" w:w="275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Address</w:t>
            </w:r>
          </w:p>
        </w:tc>
        <w:tc>
          <w:tcPr>
            <w:tcW w:type="dxa" w:w="132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Sold</w:t>
            </w:r>
          </w:p>
        </w:tc>
        <w:tc>
          <w:tcPr>
            <w:tcW w:type="dxa" w:w="1529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Price</w:t>
            </w:r>
          </w:p>
        </w:tc>
        <w:tc>
          <w:tcPr>
            <w:tcW w:type="dxa" w:w="1223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Land</w:t>
            </w:r>
          </w:p>
        </w:tc>
        <w:tc>
          <w:tcPr>
            <w:tcW w:type="dxa" w:w="917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Beds</w:t>
            </w:r>
          </w:p>
        </w:tc>
        <w:tc>
          <w:tcPr>
            <w:tcW w:type="dxa" w:w="234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Adjustment</w:t>
            </w:r>
          </w:p>
        </w:tc>
      </w:tr>
      <w:tr>
        <w:trPr>
          <w:cantSplit/>
          <w:trHeight w:val="397" w:hRule="atLeast"/>
        </w:trPr>
        <w:tc>
          <w:tcPr>
            <w:tcW w:type="dxa" w:w="27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3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{{soldDate}}</w:t>
            </w:r>
          </w:p>
        </w:tc>
        <w:tc>
          <w:tcPr>
            <w:tcW w:type="dxa" w:w="152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{{soldPrice}}</w:t>
            </w:r>
          </w:p>
        </w:tc>
        <w:tc>
          <w:tcPr>
            <w:tcW w:type="dxa" w:w="12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{{land}}</w:t>
            </w:r>
          </w:p>
        </w:tc>
        <w:tc>
          <w:tcPr>
            <w:tcW w:type="dxa" w:w="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{{beds}}</w:t>
            </w:r>
          </w:p>
        </w:tc>
        <w:tc>
          <w:tcPr>
            <w:tcW w:type="dxa" w:w="23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{{adjustment}}</w:t>
            </w:r>
          </w:p>
        </w:tc>
      </w:tr>
      <w:tr>
        <w:trPr>
          <w:cantSplit/>
          <w:trHeight w:val="397" w:hRule="atLeast"/>
        </w:trPr>
        <w:tc>
          <w:tcPr>
            <w:tcW w:type="dxa" w:w="27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3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{{soldDate}}</w:t>
            </w:r>
          </w:p>
        </w:tc>
        <w:tc>
          <w:tcPr>
            <w:tcW w:type="dxa" w:w="152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{{soldPrice}}</w:t>
            </w:r>
          </w:p>
        </w:tc>
        <w:tc>
          <w:tcPr>
            <w:tcW w:type="dxa" w:w="12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{{land}}</w:t>
            </w:r>
          </w:p>
        </w:tc>
        <w:tc>
          <w:tcPr>
            <w:tcW w:type="dxa" w:w="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{{beds}}</w:t>
            </w:r>
          </w:p>
        </w:tc>
        <w:tc>
          <w:tcPr>
            <w:tcW w:type="dxa" w:w="23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{{adjustment}}</w:t>
            </w:r>
          </w:p>
        </w:tc>
      </w:tr>
      <w:tr>
        <w:trPr>
          <w:cantSplit/>
          <w:trHeight w:val="397" w:hRule="atLeast"/>
        </w:trPr>
        <w:tc>
          <w:tcPr>
            <w:tcW w:type="dxa" w:w="27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3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{{soldDate}}</w:t>
            </w:r>
          </w:p>
        </w:tc>
        <w:tc>
          <w:tcPr>
            <w:tcW w:type="dxa" w:w="152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{{soldPrice}}</w:t>
            </w:r>
          </w:p>
        </w:tc>
        <w:tc>
          <w:tcPr>
            <w:tcW w:type="dxa" w:w="12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{{land}}</w:t>
            </w:r>
          </w:p>
        </w:tc>
        <w:tc>
          <w:tcPr>
            <w:tcW w:type="dxa" w:w="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{{beds}}</w:t>
            </w:r>
          </w:p>
        </w:tc>
        <w:tc>
          <w:tcPr>
            <w:tcW w:type="dxa" w:w="23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{{adjustment}}</w:t>
            </w:r>
          </w:p>
        </w:tc>
      </w:tr>
      <w:tr>
        <w:trPr>
          <w:cantSplit/>
          <w:trHeight w:val="397" w:hRule="atLeast"/>
        </w:trPr>
        <w:tc>
          <w:tcPr>
            <w:tcW w:type="dxa" w:w="27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3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{{soldDate}}</w:t>
            </w:r>
          </w:p>
        </w:tc>
        <w:tc>
          <w:tcPr>
            <w:tcW w:type="dxa" w:w="152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{{soldPrice}}</w:t>
            </w:r>
          </w:p>
        </w:tc>
        <w:tc>
          <w:tcPr>
            <w:tcW w:type="dxa" w:w="12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{{land}}</w:t>
            </w:r>
          </w:p>
        </w:tc>
        <w:tc>
          <w:tcPr>
            <w:tcW w:type="dxa" w:w="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{{beds}}</w:t>
            </w:r>
          </w:p>
        </w:tc>
        <w:tc>
          <w:tcPr>
            <w:tcW w:type="dxa" w:w="23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{{adjustment}}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Adjustments are the analyst's assessment relative to the subject property.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08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Risks &amp; mitigations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What could go wrong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28"/>
          <w:sz w:val="15"/>
          <w:u w:val="none"/>
        </w:rPr>
        <w:t>Risks and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and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09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Recommendation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The decision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2B0CE"/>
              <w:left w:val="single" w:sz="26" w:space="0" w:color="12B0CE"/>
              <w:bottom w:val="single" w:sz="6" w:space="0" w:color="12B0CE"/>
              <w:right w:val="single" w:sz="6" w:space="0" w:color="12B0CE"/>
            </w:tcBorders>
            <w:shd w:val="clear" w:color="auto" w:fill="EEFA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8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rPr>
          <w:cantSplit/>
        </w:trPr>
        <w:tc>
          <w:tcPr>
            <w:tcW w:type="dxa" w:w="170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400" w:type="dxa"/>
              <w:left w:w="90" w:type="dxa"/>
              <w:bottom w:w="400" w:type="dxa"/>
              <w:right w:w="9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4"/>
                <w:sz w:val="14"/>
                <w:u w:val="none"/>
              </w:rPr>
              <w:t>PHOTO</w:t>
            </w:r>
          </w:p>
        </w:tc>
        <w:tc>
          <w:tcPr>
            <w:tcW w:type="dxa" w:w="8391"/>
            <w:tcBorders>
              <w:top w:val="single" w:sz="4" w:space="0" w:color="DCE3ED"/>
              <w:left w:val="nil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Your adviser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1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{{author.title}}   ›   {{author.credentials}}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{{author.bio}}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{{author.credentialList[0]}}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{{author.credentialList[1]}}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{{author.credentialList[2]}}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{{author.email}}   ·   {{author.phone}}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2B0CE"/>
          <w:spacing w:val="52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Data sources &amp; provenance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Every figure in this report and where it came from.</w:t>
      </w:r>
    </w:p>
    <w:p>
      <w:pPr>
        <w:keepNext w:val="0"/>
        <w:keepLines/>
        <w:pageBreakBefore w:val="0"/>
        <w:widowControl w:val="1"/>
        <w:spacing w:before="0" w:after="0" w:line="108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Data, Source, As at"/>
      </w:tblPr>
      <w:tblGrid>
        <w:gridCol w:w="3402"/>
        <w:gridCol w:w="4535"/>
        <w:gridCol w:w="2154"/>
      </w:tblGrid>
      <w:tr>
        <w:trPr>
          <w:cantSplit/>
          <w:trHeight w:val="420" w:hRule="atLeast"/>
          <w:tblHeader/>
        </w:trPr>
        <w:tc>
          <w:tcPr>
            <w:tcW w:type="dxa" w:w="340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Data</w:t>
            </w:r>
          </w:p>
        </w:tc>
        <w:tc>
          <w:tcPr>
            <w:tcW w:type="dxa" w:w="453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 at</w:t>
            </w:r>
          </w:p>
        </w:tc>
      </w:tr>
      <w:tr>
        <w:trPr>
          <w:cantSplit/>
          <w:trHeight w:val="397" w:hRule="atLeast"/>
        </w:trPr>
        <w:tc>
          <w:tcPr>
            <w:tcW w:type="dxa" w:w="34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5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  <w:tr>
        <w:trPr>
          <w:cantSplit/>
          <w:trHeight w:val="397" w:hRule="atLeast"/>
        </w:trPr>
        <w:tc>
          <w:tcPr>
            <w:tcW w:type="dxa" w:w="34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5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  <w:tr>
        <w:trPr>
          <w:cantSplit/>
          <w:trHeight w:val="397" w:hRule="atLeast"/>
        </w:trPr>
        <w:tc>
          <w:tcPr>
            <w:tcW w:type="dxa" w:w="34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5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  <w:tr>
        <w:trPr>
          <w:cantSplit/>
          <w:trHeight w:val="397" w:hRule="atLeast"/>
        </w:trPr>
        <w:tc>
          <w:tcPr>
            <w:tcW w:type="dxa" w:w="34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5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Important information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Disclaimer, privacy and terms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0C2340"/>
              <w:left w:val="single" w:sz="4" w:space="0" w:color="0C2340"/>
              <w:bottom w:val="single" w:sz="4" w:space="0" w:color="0C2340"/>
              <w:right w:val="single" w:sz="4" w:space="0" w:color="0C2340"/>
            </w:tcBorders>
            <w:shd w:val="clear" w:color="auto" w:fill="0C2340"/>
            <w:tcMar>
              <w:top w:w="320" w:type="dxa"/>
              <w:left w:w="260" w:type="dxa"/>
              <w:bottom w:w="320" w:type="dxa"/>
              <w:right w:w="260" w:type="dxa"/>
            </w:tcMar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061"/>
            </w:tblGrid>
            <w:tr>
              <w:trPr>
                <w:cantSplit/>
              </w:trPr>
              <w:tc>
                <w:tcPr>
                  <w:tcW w:type="dxa" w:w="3061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36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34"/>
                <w:u w:val="none"/>
              </w:rPr>
              <w:t>Aurixa Systems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40"/>
                <w:sz w:val="15"/>
                <w:u w:val="none"/>
              </w:rPr>
              <w:t>INTELLIGENT PROPERTY &amp; FINANCE INFRASTRUCTURE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WEB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{{org.website}}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EMAIL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{{org.email}}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PHONE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{{org.phone}}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ADDRESS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{{org.address}}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SOCIAL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{{org.socials}}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AFC0D6"/>
                <w:spacing w:val="32"/>
                <w:sz w:val="14"/>
                <w:u w:val="none"/>
              </w:rPr>
              <w:t>Aurixa Systems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  <w:jc w:val="center"/>
      </w:pP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>Aurixa Systems Pty Ltd   ·   ABN {{org.abn}}   ·   COMMERCIAL IN CONFIDENCE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Property Investment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Investment Report</dc:title>
  <dc:subject>Full investment case for a single property: the asset, the numbers, the risks and a clear buy / do-not-buy recommendation.</dc:subject>
  <dc:creator>Aurixa Systems</dc:creator>
  <cp:keywords>Property investment, Investment analysis, Acquisition case,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