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  <w:trHeight w:val="7824" w:hRule="atLeast"/>
        </w:trPr>
        <w:tc>
          <w:tcPr>
            <w:tcW w:type="dxa" w:w="10091"/>
            <w:tcBorders>
              <w:top w:val="single" w:sz="10" w:space="0" w:color="1D6FE0"/>
              <w:left w:val="nil"/>
              <w:bottom w:val="nil"/>
              <w:right w:val="nil"/>
            </w:tcBorders>
            <w:shd w:val="clear" w:color="auto" w:fill="0C2340"/>
            <w:tcMar>
              <w:top w:w="380" w:type="dxa"/>
              <w:left w:w="320" w:type="dxa"/>
              <w:bottom w:w="380" w:type="dxa"/>
              <w:right w:w="320" w:type="dxa"/>
            </w:tcMar>
            <w:vAlign w:val="center"/>
          </w:tcPr>
          <w:tbl>
            <w:tblPr>
              <w:tblW w:type="auto" w:w="0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3515"/>
            </w:tblGrid>
            <w:tr>
              <w:trPr>
                <w:cantSplit/>
              </w:trPr>
              <w:tc>
                <w:tcPr>
                  <w:tcW w:type="dxa" w:w="3515"/>
                  <w:tcBorders>
                    <w:top w:val="dashed" w:sz="8" w:space="0" w:color="1D6FE0"/>
                    <w:left w:val="dashed" w:sz="8" w:space="0" w:color="1D6FE0"/>
                    <w:bottom w:val="dashed" w:sz="8" w:space="0" w:color="1D6FE0"/>
                    <w:right w:val="dashed" w:sz="8" w:space="0" w:color="1D6FE0"/>
                  </w:tcBorders>
                  <w:tcMar>
                    <w:top w:w="190" w:type="dxa"/>
                    <w:left w:w="130" w:type="dxa"/>
                    <w:bottom w:w="19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D6FE0"/>
                      <w:spacing w:val="38"/>
                      <w:sz w:val="14"/>
                      <w:u w:val="none"/>
                    </w:rPr>
                    <w:t>[  AURIXA SYSTEMS  ]</w:t>
                  </w:r>
                </w:p>
              </w:tc>
            </w:tr>
          </w:tbl>
          <w:p/>
          <w:p>
            <w:pPr>
              <w:keepNext w:val="0"/>
              <w:keepLines/>
              <w:pageBreakBefore w:val="0"/>
              <w:widowControl w:val="1"/>
              <w:spacing w:before="0" w:after="0" w:line="200" w:lineRule="exact"/>
            </w:pPr>
            <w:r>
              <w:rPr>
                <w:sz w:val="2"/>
              </w:rPr>
            </w:r>
          </w:p>
          <w:p>
            <w:pPr>
              <w:keepNext w:val="0"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62"/>
                <w:sz w:val="16"/>
                <w:u w:val="none"/>
              </w:rPr>
              <w:t>Income asset assessment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1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48"/>
                <w:sz w:val="19"/>
                <w:u w:val="none"/>
              </w:rPr>
              <w:t>Aurixa Systems</w:t>
            </w:r>
          </w:p>
          <w:p>
            <w:pPr>
              <w:keepNext/>
              <w:keepLines/>
              <w:pageBreakBefore w:val="0"/>
              <w:widowControl w:val="1"/>
              <w:spacing w:before="0" w:after="160" w:line="230" w:lineRule="auto"/>
            </w:pPr>
            <w:r>
              <w:rPr>
                <w:rFonts w:ascii="Cambria" w:hAnsi="Cambria" w:cs="Cambria" w:eastAsia="Cambria"/>
                <w:b/>
                <w:i w:val="0"/>
                <w:color w:val="FFFFFF"/>
                <w:spacing w:val="4"/>
                <w:sz w:val="60"/>
                <w:u w:val="none"/>
              </w:rPr>
              <w:t>{{report.title}}</w:t>
            </w:r>
          </w:p>
          <w:tbl>
            <w:tblPr>
              <w:tblW w:type="auto" w:w="0"/>
              <w:jc w:val="left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701"/>
            </w:tblGrid>
            <w:tr>
              <w:trPr>
                <w:cantSplit/>
              </w:trPr>
              <w:tc>
                <w:tcPr>
                  <w:tcW w:type="dxa" w:w="1701"/>
                  <w:shd w:val="clear" w:color="auto" w:fill="1D6FE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48" w:lineRule="exact"/>
                  </w:pPr>
                  <w:r>
                    <w:rPr>
                      <w:sz w:val="2"/>
                    </w:rPr>
                  </w:r>
                </w:p>
              </w:tc>
            </w:tr>
          </w:tbl>
          <w:p/>
          <w:p>
            <w:pPr>
              <w:keepNext w:val="0"/>
              <w:keepLines/>
              <w:pageBreakBefore w:val="0"/>
              <w:widowControl w:val="1"/>
              <w:spacing w:before="0" w:after="0" w:line="160" w:lineRule="exact"/>
            </w:pPr>
            <w:r>
              <w:rPr>
                <w:sz w:val="2"/>
              </w:rPr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2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AFC0D6"/>
                <w:sz w:val="22"/>
                <w:u w:val="none"/>
              </w:rPr>
              <w:t>{{asset.identity}}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180" w:lineRule="exact"/>
            </w:pPr>
            <w:r>
              <w:rPr>
                <w:sz w:val="2"/>
              </w:rPr>
            </w:r>
          </w:p>
          <w:tbl>
            <w:tblPr>
              <w:tblW w:type="auto" w:w="0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2872"/>
              <w:gridCol w:w="2872"/>
              <w:gridCol w:w="2872"/>
            </w:tblGrid>
            <w:tr>
              <w:trPr>
                <w:cantSplit/>
              </w:trPr>
              <w:tc>
                <w:tcPr>
                  <w:tcW w:type="dxa" w:w="2872"/>
                  <w:tcBorders>
                    <w:top w:val="single" w:sz="4" w:space="0" w:color="1D6FE0"/>
                    <w:left w:val="single" w:sz="4" w:space="0" w:color="1D6FE0"/>
                    <w:bottom w:val="single" w:sz="4" w:space="0" w:color="1D6FE0"/>
                    <w:right w:val="single" w:sz="4" w:space="0" w:color="1D6FE0"/>
                  </w:tcBorders>
                  <w:shd w:val="clear" w:color="auto" w:fill="16375C"/>
                  <w:tcMar>
                    <w:top w:w="90" w:type="dxa"/>
                    <w:left w:w="70" w:type="dxa"/>
                    <w:bottom w:w="90" w:type="dxa"/>
                    <w:right w:w="7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D6FE0"/>
                      <w:spacing w:val="28"/>
                      <w:sz w:val="14"/>
                      <w:u w:val="none"/>
                    </w:rPr>
                    <w:t>INDUSTRIAL</w:t>
                  </w:r>
                </w:p>
              </w:tc>
              <w:tc>
                <w:tcPr>
                  <w:tcW w:type="dxa" w:w="2872"/>
                  <w:tcBorders>
                    <w:top w:val="single" w:sz="4" w:space="0" w:color="1D6FE0"/>
                    <w:left w:val="single" w:sz="4" w:space="0" w:color="1D6FE0"/>
                    <w:bottom w:val="single" w:sz="4" w:space="0" w:color="1D6FE0"/>
                    <w:right w:val="single" w:sz="4" w:space="0" w:color="1D6FE0"/>
                  </w:tcBorders>
                  <w:shd w:val="clear" w:color="auto" w:fill="16375C"/>
                  <w:tcMar>
                    <w:top w:w="90" w:type="dxa"/>
                    <w:left w:w="70" w:type="dxa"/>
                    <w:bottom w:w="90" w:type="dxa"/>
                    <w:right w:w="7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D6FE0"/>
                      <w:spacing w:val="28"/>
                      <w:sz w:val="14"/>
                      <w:u w:val="none"/>
                    </w:rPr>
                    <w:t>MULTI-TENANTED</w:t>
                  </w:r>
                </w:p>
              </w:tc>
              <w:tc>
                <w:tcPr>
                  <w:tcW w:type="dxa" w:w="2872"/>
                  <w:tcBorders>
                    <w:top w:val="single" w:sz="4" w:space="0" w:color="1D6FE0"/>
                    <w:left w:val="single" w:sz="4" w:space="0" w:color="1D6FE0"/>
                    <w:bottom w:val="single" w:sz="4" w:space="0" w:color="1D6FE0"/>
                    <w:right w:val="single" w:sz="4" w:space="0" w:color="1D6FE0"/>
                  </w:tcBorders>
                  <w:shd w:val="clear" w:color="auto" w:fill="16375C"/>
                  <w:tcMar>
                    <w:top w:w="90" w:type="dxa"/>
                    <w:left w:w="70" w:type="dxa"/>
                    <w:bottom w:w="90" w:type="dxa"/>
                    <w:right w:w="7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D6FE0"/>
                      <w:spacing w:val="28"/>
                      <w:sz w:val="14"/>
                      <w:u w:val="none"/>
                    </w:rPr>
                    <w:t>WALE 4.1 YRS</w:t>
                  </w:r>
                </w:p>
              </w:tc>
            </w:tr>
          </w:tbl>
          <w:p/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18"/>
        <w:gridCol w:w="3027"/>
        <w:gridCol w:w="2018"/>
        <w:gridCol w:w="3027"/>
      </w:tblGrid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Prepared for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{{client.name}}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Client reference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{{client.reference}}</w:t>
            </w:r>
          </w:p>
        </w:tc>
      </w:tr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Prepared by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{{author.name}}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Date of issue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{{document.issueDate}}</w:t>
            </w:r>
          </w:p>
        </w:tc>
      </w:tr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Document reference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{{document.reference}}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Version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{{document.version}}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D6FE0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mbria" w:hAnsi="Cambria" w:cs="Cambria" w:eastAsia="Cambria"/>
                <w:b/>
                <w:i w:val="0"/>
                <w:caps w:val="1"/>
                <w:color w:val="FFFFFF"/>
                <w:spacing w:val="38"/>
                <w:sz w:val="25"/>
                <w:u w:val="none"/>
              </w:rPr>
              <w:t>Contents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0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alibri" w:hAnsi="Calibri" w:cs="Calibri" w:eastAsia="Calibri"/>
          <w:b/>
          <w:i w:val="0"/>
          <w:color w:val="1D6FE0"/>
          <w:sz w:val="19"/>
          <w:u w:val="none"/>
        </w:rPr>
        <w:t xml:space="preserve">01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Executive summary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alibri" w:hAnsi="Calibri" w:cs="Calibri" w:eastAsia="Calibri"/>
          <w:b/>
          <w:i w:val="0"/>
          <w:color w:val="1D6FE0"/>
          <w:sz w:val="19"/>
          <w:u w:val="none"/>
        </w:rPr>
        <w:t xml:space="preserve">02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Investment metrics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alibri" w:hAnsi="Calibri" w:cs="Calibri" w:eastAsia="Calibri"/>
          <w:b/>
          <w:i w:val="0"/>
          <w:color w:val="1D6FE0"/>
          <w:sz w:val="19"/>
          <w:u w:val="none"/>
        </w:rPr>
        <w:t xml:space="preserve">03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Asset overview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alibri" w:hAnsi="Calibri" w:cs="Calibri" w:eastAsia="Calibri"/>
          <w:b/>
          <w:i w:val="0"/>
          <w:color w:val="1D6FE0"/>
          <w:sz w:val="19"/>
          <w:u w:val="none"/>
        </w:rPr>
        <w:t xml:space="preserve">04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Tenancy schedule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alibri" w:hAnsi="Calibri" w:cs="Calibri" w:eastAsia="Calibri"/>
          <w:b/>
          <w:i w:val="0"/>
          <w:color w:val="1D6FE0"/>
          <w:sz w:val="19"/>
          <w:u w:val="none"/>
        </w:rPr>
        <w:t xml:space="preserve">05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Lease expiry profile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alibri" w:hAnsi="Calibri" w:cs="Calibri" w:eastAsia="Calibri"/>
          <w:b/>
          <w:i w:val="0"/>
          <w:color w:val="1D6FE0"/>
          <w:sz w:val="19"/>
          <w:u w:val="none"/>
        </w:rPr>
        <w:t xml:space="preserve">06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Income &amp; outgoings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alibri" w:hAnsi="Calibri" w:cs="Calibri" w:eastAsia="Calibri"/>
          <w:b/>
          <w:i w:val="0"/>
          <w:color w:val="1D6FE0"/>
          <w:sz w:val="19"/>
          <w:u w:val="none"/>
        </w:rPr>
        <w:t xml:space="preserve">07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Capitalisation analysis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alibri" w:hAnsi="Calibri" w:cs="Calibri" w:eastAsia="Calibri"/>
          <w:b/>
          <w:i w:val="0"/>
          <w:color w:val="1D6FE0"/>
          <w:sz w:val="19"/>
          <w:u w:val="none"/>
        </w:rPr>
        <w:t xml:space="preserve">08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Risks &amp; mitigations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alibri" w:hAnsi="Calibri" w:cs="Calibri" w:eastAsia="Calibri"/>
          <w:b/>
          <w:i w:val="0"/>
          <w:color w:val="1D6FE0"/>
          <w:sz w:val="19"/>
          <w:u w:val="none"/>
        </w:rPr>
        <w:t xml:space="preserve">09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Recommendation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alibri" w:hAnsi="Calibri" w:cs="Calibri" w:eastAsia="Calibri"/>
          <w:b/>
          <w:i w:val="0"/>
          <w:color w:val="1D6FE0"/>
          <w:sz w:val="19"/>
          <w:u w:val="none"/>
        </w:rPr>
        <w:t xml:space="preserve">A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Lease abstracts</w:t>
      </w:r>
    </w:p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D6FE0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mbria" w:hAnsi="Cambria" w:cs="Cambria" w:eastAsia="Cambria"/>
                <w:b/>
                <w:i w:val="0"/>
                <w:color w:val="FFFFFF"/>
                <w:sz w:val="27"/>
                <w:u w:val="none"/>
              </w:rPr>
              <w:t>01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mbria" w:hAnsi="Cambria" w:cs="Cambria" w:eastAsia="Cambria"/>
                <w:b/>
                <w:i w:val="0"/>
                <w:caps w:val="1"/>
                <w:color w:val="FFFFFF"/>
                <w:spacing w:val="38"/>
                <w:sz w:val="25"/>
                <w:u w:val="none"/>
              </w:rPr>
              <w:t>Executive summary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D6FE0"/>
                <w:spacing w:val="22"/>
                <w:sz w:val="14"/>
                <w:u w:val="none"/>
              </w:rPr>
              <w:t>The income thesis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0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4" w:space="0" w:color="DCE3ED"/>
              <w:left w:val="single" w:sz="18" w:space="0" w:color="1D6FE0"/>
              <w:bottom w:val="single" w:sz="4" w:space="0" w:color="DCE3ED"/>
              <w:right w:val="single" w:sz="4" w:space="0" w:color="DCE3ED"/>
            </w:tcBorders>
            <w:shd w:val="clear" w:color="auto" w:fill="F7F9FC"/>
            <w:tcMar>
              <w:top w:w="180" w:type="dxa"/>
              <w:left w:w="210" w:type="dxa"/>
              <w:bottom w:w="180" w:type="dxa"/>
              <w:right w:w="21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30"/>
                <w:sz w:val="15"/>
                <w:u w:val="none"/>
              </w:rPr>
              <w:t>Executive summary</w:t>
            </w:r>
          </w:p>
          <w:p>
            <w:pPr>
              <w:keepNext/>
              <w:keepLines/>
              <w:pageBreakBefore w:val="0"/>
              <w:widowControl w:val="1"/>
              <w:spacing w:before="0" w:after="120" w:line="293" w:lineRule="auto"/>
            </w:pPr>
            <w:r>
              <w:rPr>
                <w:rFonts w:ascii="Cambria" w:hAnsi="Cambria" w:cs="Cambria" w:eastAsia="Cambria"/>
                <w:b/>
                <w:i w:val="0"/>
                <w:color w:val="0C2340"/>
                <w:sz w:val="23"/>
                <w:u w:val="none"/>
              </w:rPr>
              <w:t>{{report.headline}}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2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>{{report.summary}}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160" w:lineRule="exact"/>
            </w:pPr>
            <w:r>
              <w:rPr>
                <w:sz w:val="2"/>
              </w:rPr>
            </w:r>
          </w:p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30"/>
                <w:sz w:val="15"/>
                <w:u w:val="none"/>
              </w:rPr>
              <w:t>What this means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22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9"/>
                <w:u w:val="none"/>
              </w:rPr>
              <w:t xml:space="preserve">›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>{{report.takeaways[0]}}</w:t>
            </w:r>
          </w:p>
          <w:p>
            <w:pPr>
              <w:keepNext w:val="0"/>
              <w:keepLines/>
              <w:pageBreakBefore w:val="0"/>
              <w:widowControl w:val="1"/>
              <w:spacing w:before="80" w:after="0" w:line="322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9"/>
                <w:u w:val="none"/>
              </w:rPr>
              <w:t xml:space="preserve">›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>{{report.takeaways[1]}}</w:t>
            </w:r>
          </w:p>
          <w:p>
            <w:pPr>
              <w:keepNext w:val="0"/>
              <w:keepLines/>
              <w:pageBreakBefore w:val="0"/>
              <w:widowControl w:val="1"/>
              <w:spacing w:before="80" w:after="0" w:line="322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9"/>
                <w:u w:val="none"/>
              </w:rPr>
              <w:t xml:space="preserve">›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>{{report.takeaways[2]}}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0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D6FE0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mbria" w:hAnsi="Cambria" w:cs="Cambria" w:eastAsia="Cambria"/>
                <w:b/>
                <w:i w:val="0"/>
                <w:color w:val="FFFFFF"/>
                <w:sz w:val="27"/>
                <w:u w:val="none"/>
              </w:rPr>
              <w:t>02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mbria" w:hAnsi="Cambria" w:cs="Cambria" w:eastAsia="Cambria"/>
                <w:b/>
                <w:i w:val="0"/>
                <w:caps w:val="1"/>
                <w:color w:val="FFFFFF"/>
                <w:spacing w:val="38"/>
                <w:sz w:val="25"/>
                <w:u w:val="none"/>
              </w:rPr>
              <w:t>Investment metrics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D6FE0"/>
                <w:spacing w:val="22"/>
                <w:sz w:val="14"/>
                <w:u w:val="none"/>
              </w:rPr>
              <w:t>Headline position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0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30"/>
                <w:sz w:val="14"/>
                <w:u w:val="none"/>
              </w:rPr>
              <w:t>PASSING YIELD</w:t>
            </w:r>
          </w:p>
        </w:tc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30"/>
                <w:sz w:val="14"/>
                <w:u w:val="none"/>
              </w:rPr>
              <w:t>NET INCOME</w:t>
            </w:r>
          </w:p>
        </w:tc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30"/>
                <w:sz w:val="14"/>
                <w:u w:val="none"/>
              </w:rPr>
              <w:t>WALE</w:t>
            </w:r>
          </w:p>
        </w:tc>
        <w:tc>
          <w:tcPr>
            <w:tcW w:type="dxa" w:w="2523"/>
            <w:tcBorders>
              <w:right w:val="nil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30"/>
                <w:sz w:val="14"/>
                <w:u w:val="none"/>
              </w:rPr>
              <w:t>RATE PER m²</w:t>
            </w:r>
          </w:p>
        </w:tc>
      </w:tr>
      <w:tr>
        <w:trPr>
          <w:cantSplit/>
        </w:trPr>
        <w:tc>
          <w:tcPr>
            <w:tcW w:type="dxa" w:w="2523"/>
            <w:tcBorders>
              <w:bottom w:val="single" w:sz="8" w:space="0" w:color="1D6FE0"/>
              <w:right w:val="single" w:sz="24" w:space="0" w:color="FFFFFF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32"/>
                <w:u w:val="none"/>
              </w:rPr>
              <w:t>{{metrics.passingYield}}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On asking price</w:t>
            </w:r>
          </w:p>
        </w:tc>
        <w:tc>
          <w:tcPr>
            <w:tcW w:type="dxa" w:w="2523"/>
            <w:tcBorders>
              <w:bottom w:val="single" w:sz="8" w:space="0" w:color="1D6FE0"/>
              <w:right w:val="single" w:sz="24" w:space="0" w:color="FFFFFF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32"/>
                <w:u w:val="none"/>
              </w:rPr>
              <w:t>{{metrics.netIncome}}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Passing, per annum</w:t>
            </w:r>
          </w:p>
        </w:tc>
        <w:tc>
          <w:tcPr>
            <w:tcW w:type="dxa" w:w="2523"/>
            <w:tcBorders>
              <w:bottom w:val="single" w:sz="8" w:space="0" w:color="1D6FE0"/>
              <w:right w:val="single" w:sz="24" w:space="0" w:color="FFFFFF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32"/>
                <w:u w:val="none"/>
              </w:rPr>
              <w:t>{{metrics.wale}}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By income</w:t>
            </w:r>
          </w:p>
        </w:tc>
        <w:tc>
          <w:tcPr>
            <w:tcW w:type="dxa" w:w="2523"/>
            <w:tcBorders>
              <w:bottom w:val="single" w:sz="8" w:space="0" w:color="1D6FE0"/>
              <w:right w:val="nil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32"/>
                <w:u w:val="none"/>
              </w:rPr>
              <w:t>{{metrics.ratePerSqm}}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Building area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D6FE0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mbria" w:hAnsi="Cambria" w:cs="Cambria" w:eastAsia="Cambria"/>
                <w:b/>
                <w:i w:val="0"/>
                <w:color w:val="FFFFFF"/>
                <w:sz w:val="27"/>
                <w:u w:val="none"/>
              </w:rPr>
              <w:t>03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mbria" w:hAnsi="Cambria" w:cs="Cambria" w:eastAsia="Cambria"/>
                <w:b/>
                <w:i w:val="0"/>
                <w:caps w:val="1"/>
                <w:color w:val="FFFFFF"/>
                <w:spacing w:val="38"/>
                <w:sz w:val="25"/>
                <w:u w:val="none"/>
              </w:rPr>
              <w:t>Asset overview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D6FE0"/>
                <w:spacing w:val="22"/>
                <w:sz w:val="14"/>
                <w:u w:val="none"/>
              </w:rPr>
              <w:t>The physical asset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0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4" w:space="0" w:color="DCE3ED"/>
              <w:left w:val="single" w:sz="18" w:space="0" w:color="1D6FE0"/>
              <w:bottom w:val="single" w:sz="4" w:space="0" w:color="DCE3ED"/>
              <w:right w:val="single" w:sz="4" w:space="0" w:color="DCE3ED"/>
            </w:tcBorders>
            <w:shd w:val="clear" w:color="auto" w:fill="F7F9FC"/>
            <w:tcMar>
              <w:top w:w="180" w:type="dxa"/>
              <w:left w:w="210" w:type="dxa"/>
              <w:bottom w:w="180" w:type="dxa"/>
              <w:right w:w="21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30"/>
                <w:sz w:val="15"/>
                <w:u w:val="none"/>
              </w:rPr>
              <w:t>Asset particulars</w:t>
            </w:r>
          </w:p>
          <w:tbl>
            <w:tblPr>
              <w:tblW w:type="auto" w:w="0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918"/>
              <w:gridCol w:w="2878"/>
              <w:gridCol w:w="1918"/>
              <w:gridCol w:w="2878"/>
            </w:tblGrid>
            <w:tr>
              <w:trPr>
                <w:cantSplit/>
                <w:trHeight w:val="431" w:hRule="atLeast"/>
              </w:trPr>
              <w:tc>
                <w:tcPr>
                  <w:tcW w:type="dxa" w:w="1918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100" w:type="dxa"/>
                    <w:left w:w="140" w:type="dxa"/>
                    <w:bottom w:w="100" w:type="dxa"/>
                    <w:right w:w="140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Address</w:t>
                  </w:r>
                </w:p>
              </w:tc>
              <w:tc>
                <w:tcPr>
                  <w:tcW w:type="dxa" w:w="2878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100" w:type="dxa"/>
                    <w:left w:w="140" w:type="dxa"/>
                    <w:bottom w:w="100" w:type="dxa"/>
                    <w:right w:w="140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{{asset.address}}</w:t>
                  </w:r>
                </w:p>
              </w:tc>
              <w:tc>
                <w:tcPr>
                  <w:tcW w:type="dxa" w:w="1918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100" w:type="dxa"/>
                    <w:left w:w="140" w:type="dxa"/>
                    <w:bottom w:w="100" w:type="dxa"/>
                    <w:right w:w="140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Title</w:t>
                  </w:r>
                </w:p>
              </w:tc>
              <w:tc>
                <w:tcPr>
                  <w:tcW w:type="dxa" w:w="2878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100" w:type="dxa"/>
                    <w:left w:w="140" w:type="dxa"/>
                    <w:bottom w:w="100" w:type="dxa"/>
                    <w:right w:w="140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{{asset.title}}</w:t>
                  </w:r>
                </w:p>
              </w:tc>
            </w:tr>
            <w:tr>
              <w:trPr>
                <w:cantSplit/>
                <w:trHeight w:val="431" w:hRule="atLeast"/>
              </w:trPr>
              <w:tc>
                <w:tcPr>
                  <w:tcW w:type="dxa" w:w="1918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100" w:type="dxa"/>
                    <w:left w:w="140" w:type="dxa"/>
                    <w:bottom w:w="100" w:type="dxa"/>
                    <w:right w:w="140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Site area</w:t>
                  </w:r>
                </w:p>
              </w:tc>
              <w:tc>
                <w:tcPr>
                  <w:tcW w:type="dxa" w:w="2878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100" w:type="dxa"/>
                    <w:left w:w="140" w:type="dxa"/>
                    <w:bottom w:w="100" w:type="dxa"/>
                    <w:right w:w="140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{{asset.siteArea}}</w:t>
                  </w:r>
                </w:p>
              </w:tc>
              <w:tc>
                <w:tcPr>
                  <w:tcW w:type="dxa" w:w="1918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100" w:type="dxa"/>
                    <w:left w:w="140" w:type="dxa"/>
                    <w:bottom w:w="100" w:type="dxa"/>
                    <w:right w:w="140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Building area</w:t>
                  </w:r>
                </w:p>
              </w:tc>
              <w:tc>
                <w:tcPr>
                  <w:tcW w:type="dxa" w:w="2878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100" w:type="dxa"/>
                    <w:left w:w="140" w:type="dxa"/>
                    <w:bottom w:w="100" w:type="dxa"/>
                    <w:right w:w="140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{{asset.buildingArea}}</w:t>
                  </w:r>
                </w:p>
              </w:tc>
            </w:tr>
            <w:tr>
              <w:trPr>
                <w:cantSplit/>
                <w:trHeight w:val="431" w:hRule="atLeast"/>
              </w:trPr>
              <w:tc>
                <w:tcPr>
                  <w:tcW w:type="dxa" w:w="1918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100" w:type="dxa"/>
                    <w:left w:w="140" w:type="dxa"/>
                    <w:bottom w:w="100" w:type="dxa"/>
                    <w:right w:w="140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Site cover</w:t>
                  </w:r>
                </w:p>
              </w:tc>
              <w:tc>
                <w:tcPr>
                  <w:tcW w:type="dxa" w:w="2878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100" w:type="dxa"/>
                    <w:left w:w="140" w:type="dxa"/>
                    <w:bottom w:w="100" w:type="dxa"/>
                    <w:right w:w="140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{{asset.siteCover}}</w:t>
                  </w:r>
                </w:p>
              </w:tc>
              <w:tc>
                <w:tcPr>
                  <w:tcW w:type="dxa" w:w="1918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100" w:type="dxa"/>
                    <w:left w:w="140" w:type="dxa"/>
                    <w:bottom w:w="100" w:type="dxa"/>
                    <w:right w:w="140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Zoning</w:t>
                  </w:r>
                </w:p>
              </w:tc>
              <w:tc>
                <w:tcPr>
                  <w:tcW w:type="dxa" w:w="2878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100" w:type="dxa"/>
                    <w:left w:w="140" w:type="dxa"/>
                    <w:bottom w:w="100" w:type="dxa"/>
                    <w:right w:w="140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{{asset.zoning}}</w:t>
                  </w:r>
                </w:p>
              </w:tc>
            </w:tr>
            <w:tr>
              <w:trPr>
                <w:cantSplit/>
                <w:trHeight w:val="431" w:hRule="atLeast"/>
              </w:trPr>
              <w:tc>
                <w:tcPr>
                  <w:tcW w:type="dxa" w:w="1918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100" w:type="dxa"/>
                    <w:left w:w="140" w:type="dxa"/>
                    <w:bottom w:w="100" w:type="dxa"/>
                    <w:right w:w="140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Construction</w:t>
                  </w:r>
                </w:p>
              </w:tc>
              <w:tc>
                <w:tcPr>
                  <w:tcW w:type="dxa" w:w="2878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100" w:type="dxa"/>
                    <w:left w:w="140" w:type="dxa"/>
                    <w:bottom w:w="100" w:type="dxa"/>
                    <w:right w:w="140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{{asset.construction}}</w:t>
                  </w:r>
                </w:p>
              </w:tc>
              <w:tc>
                <w:tcPr>
                  <w:tcW w:type="dxa" w:w="1918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100" w:type="dxa"/>
                    <w:left w:w="140" w:type="dxa"/>
                    <w:bottom w:w="100" w:type="dxa"/>
                    <w:right w:w="140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Year built</w:t>
                  </w:r>
                </w:p>
              </w:tc>
              <w:tc>
                <w:tcPr>
                  <w:tcW w:type="dxa" w:w="2878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100" w:type="dxa"/>
                    <w:left w:w="140" w:type="dxa"/>
                    <w:bottom w:w="100" w:type="dxa"/>
                    <w:right w:w="140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{{asset.yearBuilt}}</w:t>
                  </w:r>
                </w:p>
              </w:tc>
            </w:tr>
            <w:tr>
              <w:trPr>
                <w:cantSplit/>
                <w:trHeight w:val="431" w:hRule="atLeast"/>
              </w:trPr>
              <w:tc>
                <w:tcPr>
                  <w:tcW w:type="dxa" w:w="1918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100" w:type="dxa"/>
                    <w:left w:w="140" w:type="dxa"/>
                    <w:bottom w:w="100" w:type="dxa"/>
                    <w:right w:w="140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Clearance</w:t>
                  </w:r>
                </w:p>
              </w:tc>
              <w:tc>
                <w:tcPr>
                  <w:tcW w:type="dxa" w:w="2878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100" w:type="dxa"/>
                    <w:left w:w="140" w:type="dxa"/>
                    <w:bottom w:w="100" w:type="dxa"/>
                    <w:right w:w="140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{{asset.clearance}}</w:t>
                  </w:r>
                </w:p>
              </w:tc>
              <w:tc>
                <w:tcPr>
                  <w:tcW w:type="dxa" w:w="1918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100" w:type="dxa"/>
                    <w:left w:w="140" w:type="dxa"/>
                    <w:bottom w:w="100" w:type="dxa"/>
                    <w:right w:w="140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Loading</w:t>
                  </w:r>
                </w:p>
              </w:tc>
              <w:tc>
                <w:tcPr>
                  <w:tcW w:type="dxa" w:w="2878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100" w:type="dxa"/>
                    <w:left w:w="140" w:type="dxa"/>
                    <w:bottom w:w="100" w:type="dxa"/>
                    <w:right w:w="140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{{asset.loading}}</w:t>
                  </w:r>
                </w:p>
              </w:tc>
            </w:tr>
            <w:tr>
              <w:trPr>
                <w:cantSplit/>
                <w:trHeight w:val="431" w:hRule="atLeast"/>
              </w:trPr>
              <w:tc>
                <w:tcPr>
                  <w:tcW w:type="dxa" w:w="1918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100" w:type="dxa"/>
                    <w:left w:w="140" w:type="dxa"/>
                    <w:bottom w:w="100" w:type="dxa"/>
                    <w:right w:w="140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Power</w:t>
                  </w:r>
                </w:p>
              </w:tc>
              <w:tc>
                <w:tcPr>
                  <w:tcW w:type="dxa" w:w="2878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100" w:type="dxa"/>
                    <w:left w:w="140" w:type="dxa"/>
                    <w:bottom w:w="100" w:type="dxa"/>
                    <w:right w:w="140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{{asset.power}}</w:t>
                  </w:r>
                </w:p>
              </w:tc>
              <w:tc>
                <w:tcPr>
                  <w:tcW w:type="dxa" w:w="1918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100" w:type="dxa"/>
                    <w:left w:w="140" w:type="dxa"/>
                    <w:bottom w:w="100" w:type="dxa"/>
                    <w:right w:w="140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Car parking</w:t>
                  </w:r>
                </w:p>
              </w:tc>
              <w:tc>
                <w:tcPr>
                  <w:tcW w:type="dxa" w:w="2878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100" w:type="dxa"/>
                    <w:left w:w="140" w:type="dxa"/>
                    <w:bottom w:w="100" w:type="dxa"/>
                    <w:right w:w="140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{{asset.parking}}</w:t>
                  </w:r>
                </w:p>
              </w:tc>
            </w:tr>
          </w:tbl>
          <w:p/>
        </w:tc>
      </w:tr>
    </w:tbl>
    <w:p>
      <w:pPr>
        <w:keepNext w:val="0"/>
        <w:keepLines/>
        <w:pageBreakBefore w:val="0"/>
        <w:widowControl w:val="1"/>
        <w:spacing w:before="0" w:after="0" w:line="20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D6FE0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mbria" w:hAnsi="Cambria" w:cs="Cambria" w:eastAsia="Cambria"/>
                <w:b/>
                <w:i w:val="0"/>
                <w:color w:val="FFFFFF"/>
                <w:sz w:val="27"/>
                <w:u w:val="none"/>
              </w:rPr>
              <w:t>04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mbria" w:hAnsi="Cambria" w:cs="Cambria" w:eastAsia="Cambria"/>
                <w:b/>
                <w:i w:val="0"/>
                <w:caps w:val="1"/>
                <w:color w:val="FFFFFF"/>
                <w:spacing w:val="38"/>
                <w:sz w:val="25"/>
                <w:u w:val="none"/>
              </w:rPr>
              <w:t>Tenancy schedule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D6FE0"/>
                <w:spacing w:val="22"/>
                <w:sz w:val="14"/>
                <w:u w:val="none"/>
              </w:rPr>
              <w:t>Who pays, how much, until when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30"/>
          <w:sz w:val="15"/>
          <w:u w:val="none"/>
        </w:rPr>
        <w:t>Tenancy schedule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Tenancy schedule"/>
        <w:tblDescription w:val="Columns: Tenancy, Tenant, Area m², Commenced, Expires, Net rent p.a., $/m², Review, Options"/>
      </w:tblPr>
      <w:tblGrid>
        <w:gridCol w:w="782"/>
        <w:gridCol w:w="1799"/>
        <w:gridCol w:w="939"/>
        <w:gridCol w:w="1095"/>
        <w:gridCol w:w="1017"/>
        <w:gridCol w:w="1330"/>
        <w:gridCol w:w="861"/>
        <w:gridCol w:w="1173"/>
        <w:gridCol w:w="1095"/>
      </w:tblGrid>
      <w:tr>
        <w:trPr>
          <w:cantSplit/>
          <w:trHeight w:val="420" w:hRule="atLeast"/>
          <w:tblHeader/>
        </w:trPr>
        <w:tc>
          <w:tcPr>
            <w:tcW w:type="dxa" w:w="782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Tenancy</w:t>
            </w:r>
          </w:p>
        </w:tc>
        <w:tc>
          <w:tcPr>
            <w:tcW w:type="dxa" w:w="1799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Tenant</w:t>
            </w:r>
          </w:p>
        </w:tc>
        <w:tc>
          <w:tcPr>
            <w:tcW w:type="dxa" w:w="939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Area m²</w:t>
            </w:r>
          </w:p>
        </w:tc>
        <w:tc>
          <w:tcPr>
            <w:tcW w:type="dxa" w:w="1095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Commenced</w:t>
            </w:r>
          </w:p>
        </w:tc>
        <w:tc>
          <w:tcPr>
            <w:tcW w:type="dxa" w:w="1017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Expires</w:t>
            </w:r>
          </w:p>
        </w:tc>
        <w:tc>
          <w:tcPr>
            <w:tcW w:type="dxa" w:w="1330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Net rent p.a.</w:t>
            </w:r>
          </w:p>
        </w:tc>
        <w:tc>
          <w:tcPr>
            <w:tcW w:type="dxa" w:w="861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$/m²</w:t>
            </w:r>
          </w:p>
        </w:tc>
        <w:tc>
          <w:tcPr>
            <w:tcW w:type="dxa" w:w="1173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Review</w:t>
            </w:r>
          </w:p>
        </w:tc>
        <w:tc>
          <w:tcPr>
            <w:tcW w:type="dxa" w:w="1095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Options</w:t>
            </w:r>
          </w:p>
        </w:tc>
      </w:tr>
      <w:tr>
        <w:trPr>
          <w:cantSplit/>
          <w:trHeight w:val="397" w:hRule="atLeast"/>
        </w:trPr>
        <w:tc>
          <w:tcPr>
            <w:tcW w:type="dxa" w:w="78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179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{{tenant}}</w:t>
            </w:r>
          </w:p>
        </w:tc>
        <w:tc>
          <w:tcPr>
            <w:tcW w:type="dxa" w:w="93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{{area}}</w:t>
            </w:r>
          </w:p>
        </w:tc>
        <w:tc>
          <w:tcPr>
            <w:tcW w:type="dxa" w:w="109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{{commenced}}</w:t>
            </w:r>
          </w:p>
        </w:tc>
        <w:tc>
          <w:tcPr>
            <w:tcW w:type="dxa" w:w="101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{{expires}}</w:t>
            </w:r>
          </w:p>
        </w:tc>
        <w:tc>
          <w:tcPr>
            <w:tcW w:type="dxa" w:w="133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{{rent}}</w:t>
            </w:r>
          </w:p>
        </w:tc>
        <w:tc>
          <w:tcPr>
            <w:tcW w:type="dxa" w:w="86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{{rate}}</w:t>
            </w:r>
          </w:p>
        </w:tc>
        <w:tc>
          <w:tcPr>
            <w:tcW w:type="dxa" w:w="117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{{review}}</w:t>
            </w:r>
          </w:p>
        </w:tc>
        <w:tc>
          <w:tcPr>
            <w:tcW w:type="dxa" w:w="109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{{options}}</w:t>
            </w:r>
          </w:p>
        </w:tc>
      </w:tr>
      <w:tr>
        <w:trPr>
          <w:cantSplit/>
          <w:trHeight w:val="397" w:hRule="atLeast"/>
        </w:trPr>
        <w:tc>
          <w:tcPr>
            <w:tcW w:type="dxa" w:w="78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179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{{tenant}}</w:t>
            </w:r>
          </w:p>
        </w:tc>
        <w:tc>
          <w:tcPr>
            <w:tcW w:type="dxa" w:w="93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{{area}}</w:t>
            </w:r>
          </w:p>
        </w:tc>
        <w:tc>
          <w:tcPr>
            <w:tcW w:type="dxa" w:w="109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{{commenced}}</w:t>
            </w:r>
          </w:p>
        </w:tc>
        <w:tc>
          <w:tcPr>
            <w:tcW w:type="dxa" w:w="101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{{expires}}</w:t>
            </w:r>
          </w:p>
        </w:tc>
        <w:tc>
          <w:tcPr>
            <w:tcW w:type="dxa" w:w="133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{{rent}}</w:t>
            </w:r>
          </w:p>
        </w:tc>
        <w:tc>
          <w:tcPr>
            <w:tcW w:type="dxa" w:w="86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{{rate}}</w:t>
            </w:r>
          </w:p>
        </w:tc>
        <w:tc>
          <w:tcPr>
            <w:tcW w:type="dxa" w:w="117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{{review}}</w:t>
            </w:r>
          </w:p>
        </w:tc>
        <w:tc>
          <w:tcPr>
            <w:tcW w:type="dxa" w:w="109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{{options}}</w:t>
            </w:r>
          </w:p>
        </w:tc>
      </w:tr>
      <w:tr>
        <w:trPr>
          <w:cantSplit/>
          <w:trHeight w:val="397" w:hRule="atLeast"/>
        </w:trPr>
        <w:tc>
          <w:tcPr>
            <w:tcW w:type="dxa" w:w="78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179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{{tenant}}</w:t>
            </w:r>
          </w:p>
        </w:tc>
        <w:tc>
          <w:tcPr>
            <w:tcW w:type="dxa" w:w="93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{{area}}</w:t>
            </w:r>
          </w:p>
        </w:tc>
        <w:tc>
          <w:tcPr>
            <w:tcW w:type="dxa" w:w="109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{{commenced}}</w:t>
            </w:r>
          </w:p>
        </w:tc>
        <w:tc>
          <w:tcPr>
            <w:tcW w:type="dxa" w:w="101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{{expires}}</w:t>
            </w:r>
          </w:p>
        </w:tc>
        <w:tc>
          <w:tcPr>
            <w:tcW w:type="dxa" w:w="133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{{rent}}</w:t>
            </w:r>
          </w:p>
        </w:tc>
        <w:tc>
          <w:tcPr>
            <w:tcW w:type="dxa" w:w="86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{{rate}}</w:t>
            </w:r>
          </w:p>
        </w:tc>
        <w:tc>
          <w:tcPr>
            <w:tcW w:type="dxa" w:w="117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{{review}}</w:t>
            </w:r>
          </w:p>
        </w:tc>
        <w:tc>
          <w:tcPr>
            <w:tcW w:type="dxa" w:w="109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{{options}}</w:t>
            </w:r>
          </w:p>
        </w:tc>
      </w:tr>
      <w:tr>
        <w:trPr>
          <w:cantSplit/>
          <w:trHeight w:val="397" w:hRule="atLeast"/>
        </w:trPr>
        <w:tc>
          <w:tcPr>
            <w:tcW w:type="dxa" w:w="78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179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{{tenant}}</w:t>
            </w:r>
          </w:p>
        </w:tc>
        <w:tc>
          <w:tcPr>
            <w:tcW w:type="dxa" w:w="93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{{area}}</w:t>
            </w:r>
          </w:p>
        </w:tc>
        <w:tc>
          <w:tcPr>
            <w:tcW w:type="dxa" w:w="109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{{commenced}}</w:t>
            </w:r>
          </w:p>
        </w:tc>
        <w:tc>
          <w:tcPr>
            <w:tcW w:type="dxa" w:w="101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{{expires}}</w:t>
            </w:r>
          </w:p>
        </w:tc>
        <w:tc>
          <w:tcPr>
            <w:tcW w:type="dxa" w:w="133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{{rent}}</w:t>
            </w:r>
          </w:p>
        </w:tc>
        <w:tc>
          <w:tcPr>
            <w:tcW w:type="dxa" w:w="86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{{rate}}</w:t>
            </w:r>
          </w:p>
        </w:tc>
        <w:tc>
          <w:tcPr>
            <w:tcW w:type="dxa" w:w="117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{{review}}</w:t>
            </w:r>
          </w:p>
        </w:tc>
        <w:tc>
          <w:tcPr>
            <w:tcW w:type="dxa" w:w="109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{{options}}</w:t>
            </w:r>
          </w:p>
        </w:tc>
      </w:tr>
      <w:tr>
        <w:trPr>
          <w:cantSplit/>
          <w:trHeight w:val="397" w:hRule="atLeast"/>
        </w:trPr>
        <w:tc>
          <w:tcPr>
            <w:tcW w:type="dxa" w:w="782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DCE8FB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</w:p>
        </w:tc>
        <w:tc>
          <w:tcPr>
            <w:tcW w:type="dxa" w:w="1799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DCE8FB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Total / weighted</w:t>
            </w:r>
          </w:p>
        </w:tc>
        <w:tc>
          <w:tcPr>
            <w:tcW w:type="dxa" w:w="939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DCE8FB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4,820</w:t>
            </w:r>
          </w:p>
        </w:tc>
        <w:tc>
          <w:tcPr>
            <w:tcW w:type="dxa" w:w="1095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DCE8FB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</w:p>
        </w:tc>
        <w:tc>
          <w:tcPr>
            <w:tcW w:type="dxa" w:w="1017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DCE8FB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</w:p>
        </w:tc>
        <w:tc>
          <w:tcPr>
            <w:tcW w:type="dxa" w:w="1330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DCE8FB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$769,450</w:t>
            </w:r>
          </w:p>
        </w:tc>
        <w:tc>
          <w:tcPr>
            <w:tcW w:type="dxa" w:w="861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DCE8FB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$160</w:t>
            </w:r>
          </w:p>
        </w:tc>
        <w:tc>
          <w:tcPr>
            <w:tcW w:type="dxa" w:w="1173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DCE8FB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</w:p>
        </w:tc>
        <w:tc>
          <w:tcPr>
            <w:tcW w:type="dxa" w:w="1095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DCE8FB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</w:p>
        </w:tc>
      </w:tr>
    </w:tbl>
    <w:p>
      <w:pPr>
        <w:keepNext w:val="0"/>
        <w:keepLines/>
        <w:pageBreakBefore w:val="0"/>
        <w:widowControl w:val="1"/>
        <w:spacing w:before="80" w:after="0" w:line="298" w:lineRule="auto"/>
      </w:pPr>
      <w:r>
        <w:rPr>
          <w:rFonts w:ascii="Calibri" w:hAnsi="Calibri" w:cs="Calibri" w:eastAsia="Calibri"/>
          <w:b w:val="0"/>
          <w:i/>
          <w:color w:val="8493A8"/>
          <w:sz w:val="14"/>
          <w:u w:val="none"/>
        </w:rPr>
        <w:t>Rents are net of outgoings, which are fully recoverable under all four leases. Passing net income after a 3.5% structural vacancy allowance is $742,000.</w:t>
      </w:r>
    </w:p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D6FE0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mbria" w:hAnsi="Cambria" w:cs="Cambria" w:eastAsia="Cambria"/>
                <w:b/>
                <w:i w:val="0"/>
                <w:color w:val="FFFFFF"/>
                <w:sz w:val="27"/>
                <w:u w:val="none"/>
              </w:rPr>
              <w:t>05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mbria" w:hAnsi="Cambria" w:cs="Cambria" w:eastAsia="Cambria"/>
                <w:b/>
                <w:i w:val="0"/>
                <w:caps w:val="1"/>
                <w:color w:val="FFFFFF"/>
                <w:spacing w:val="38"/>
                <w:sz w:val="25"/>
                <w:u w:val="none"/>
              </w:rPr>
              <w:t>Lease expiry profile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D6FE0"/>
                <w:spacing w:val="22"/>
                <w:sz w:val="14"/>
                <w:u w:val="none"/>
              </w:rPr>
              <w:t>When income is at risk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0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  <w:trHeight w:val="2948" w:hRule="atLeast"/>
        </w:trPr>
        <w:tc>
          <w:tcPr>
            <w:tcW w:type="dxa" w:w="10091"/>
            <w:tcBorders>
              <w:top w:val="single" w:sz="4" w:space="0" w:color="C2CDDC"/>
              <w:left w:val="single" w:sz="4" w:space="0" w:color="C2CDDC"/>
              <w:bottom w:val="single" w:sz="4" w:space="0" w:color="C2CDDC"/>
              <w:right w:val="single" w:sz="4" w:space="0" w:color="C2CDDC"/>
            </w:tcBorders>
            <w:shd w:val="clear" w:color="auto" w:fill="F7F9FC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60"/>
              <w:jc w:val="center"/>
            </w:pPr>
            <w:r>
              <w:rPr>
                <w:rFonts w:ascii="Cambria" w:hAnsi="Cambria" w:cs="Cambria" w:eastAsia="Cambria"/>
                <w:b/>
                <w:i w:val="0"/>
                <w:color w:val="0C2340"/>
                <w:sz w:val="18"/>
                <w:u w:val="none"/>
              </w:rPr>
              <w:t>Income expiring by financial year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60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36"/>
                <w:sz w:val="15"/>
                <w:u w:val="none"/>
              </w:rPr>
              <w:t>[  COLUMN CHART  ]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8493A8"/>
                <w:sz w:val="14"/>
                <w:u w:val="none"/>
              </w:rPr>
              <w:t>{{tenancies.expiryProfile}}</w:t>
            </w:r>
          </w:p>
        </w:tc>
      </w:tr>
    </w:tbl>
    <w:p>
      <w:pPr>
        <w:keepNext w:val="0"/>
        <w:keepLines/>
        <w:pageBreakBefore w:val="0"/>
        <w:widowControl w:val="1"/>
        <w:spacing w:before="80" w:after="0" w:line="298" w:lineRule="auto"/>
      </w:pPr>
      <w:r>
        <w:rPr>
          <w:rFonts w:ascii="Calibri" w:hAnsi="Calibri" w:cs="Calibri" w:eastAsia="Calibri"/>
          <w:b w:val="0"/>
          <w:i/>
          <w:color w:val="8493A8"/>
          <w:sz w:val="14"/>
          <w:u w:val="none"/>
        </w:rPr>
        <w:t>Percentage of passing income   ·   Source: Lease schedule   ·   Alt text: 47% of income expires in FY2029, with the remainder spread across FY2030 to FY2032</w:t>
      </w:r>
    </w:p>
    <w:p>
      <w:pPr>
        <w:keepNext w:val="0"/>
        <w:keepLines/>
        <w:pageBreakBefore w:val="0"/>
        <w:widowControl w:val="1"/>
        <w:spacing w:before="0" w:after="0" w:line="12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30"/>
          <w:sz w:val="15"/>
          <w:u w:val="none"/>
        </w:rPr>
        <w:t>Income expiring by year, before options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826"/>
        <w:gridCol w:w="5651"/>
        <w:gridCol w:w="1615"/>
      </w:tblGrid>
      <w:tr>
        <w:trPr>
          <w:cantSplit/>
          <w:trHeight w:val="420" w:hRule="atLeast"/>
        </w:trPr>
        <w:tc>
          <w:tcPr>
            <w:tcW w:type="dxa" w:w="2826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{{year}}</w:t>
            </w:r>
          </w:p>
        </w:tc>
        <w:tc>
          <w:tcPr>
            <w:tcW w:type="dxa" w:w="565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tbl>
            <w:tblPr>
              <w:tblW w:type="auto" w:w="0"/>
              <w:jc w:val="left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2826"/>
              <w:gridCol w:w="2826"/>
            </w:tblGrid>
            <w:tr>
              <w:trPr>
                <w:cantSplit/>
              </w:trPr>
              <w:tc>
                <w:tcPr>
                  <w:tcW w:type="dxa" w:w="2826"/>
                  <w:shd w:val="clear" w:color="auto" w:fill="0C234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  <w:tc>
                <w:tcPr>
                  <w:tcW w:type="dxa" w:w="2826"/>
                  <w:shd w:val="clear" w:color="auto" w:fill="EDF1F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</w:tr>
          </w:tbl>
          <w:p/>
        </w:tc>
        <w:tc>
          <w:tcPr>
            <w:tcW w:type="dxa" w:w="1615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right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{{share}}</w:t>
            </w:r>
          </w:p>
        </w:tc>
      </w:tr>
      <w:tr>
        <w:trPr>
          <w:cantSplit/>
          <w:trHeight w:val="420" w:hRule="atLeast"/>
        </w:trPr>
        <w:tc>
          <w:tcPr>
            <w:tcW w:type="dxa" w:w="2826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{{year}}</w:t>
            </w:r>
          </w:p>
        </w:tc>
        <w:tc>
          <w:tcPr>
            <w:tcW w:type="dxa" w:w="565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tbl>
            <w:tblPr>
              <w:tblW w:type="auto" w:w="0"/>
              <w:jc w:val="left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2826"/>
              <w:gridCol w:w="2826"/>
            </w:tblGrid>
            <w:tr>
              <w:trPr>
                <w:cantSplit/>
              </w:trPr>
              <w:tc>
                <w:tcPr>
                  <w:tcW w:type="dxa" w:w="2826"/>
                  <w:shd w:val="clear" w:color="auto" w:fill="1D6FE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  <w:tc>
                <w:tcPr>
                  <w:tcW w:type="dxa" w:w="2826"/>
                  <w:shd w:val="clear" w:color="auto" w:fill="EDF1F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</w:tr>
          </w:tbl>
          <w:p/>
        </w:tc>
        <w:tc>
          <w:tcPr>
            <w:tcW w:type="dxa" w:w="1615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right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{{share}}</w:t>
            </w:r>
          </w:p>
        </w:tc>
      </w:tr>
      <w:tr>
        <w:trPr>
          <w:cantSplit/>
          <w:trHeight w:val="420" w:hRule="atLeast"/>
        </w:trPr>
        <w:tc>
          <w:tcPr>
            <w:tcW w:type="dxa" w:w="2826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{{year}}</w:t>
            </w:r>
          </w:p>
        </w:tc>
        <w:tc>
          <w:tcPr>
            <w:tcW w:type="dxa" w:w="565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tbl>
            <w:tblPr>
              <w:tblW w:type="auto" w:w="0"/>
              <w:jc w:val="left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2826"/>
              <w:gridCol w:w="2826"/>
            </w:tblGrid>
            <w:tr>
              <w:trPr>
                <w:cantSplit/>
              </w:trPr>
              <w:tc>
                <w:tcPr>
                  <w:tcW w:type="dxa" w:w="2826"/>
                  <w:shd w:val="clear" w:color="auto" w:fill="12B0CE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  <w:tc>
                <w:tcPr>
                  <w:tcW w:type="dxa" w:w="2826"/>
                  <w:shd w:val="clear" w:color="auto" w:fill="EDF1F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</w:tr>
          </w:tbl>
          <w:p/>
        </w:tc>
        <w:tc>
          <w:tcPr>
            <w:tcW w:type="dxa" w:w="1615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right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{{share}}</w:t>
            </w:r>
          </w:p>
        </w:tc>
      </w:tr>
      <w:tr>
        <w:trPr>
          <w:cantSplit/>
          <w:trHeight w:val="420" w:hRule="atLeast"/>
        </w:trPr>
        <w:tc>
          <w:tcPr>
            <w:tcW w:type="dxa" w:w="2826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{{year}}</w:t>
            </w:r>
          </w:p>
        </w:tc>
        <w:tc>
          <w:tcPr>
            <w:tcW w:type="dxa" w:w="565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tbl>
            <w:tblPr>
              <w:tblW w:type="auto" w:w="0"/>
              <w:jc w:val="left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2826"/>
              <w:gridCol w:w="2826"/>
            </w:tblGrid>
            <w:tr>
              <w:trPr>
                <w:cantSplit/>
              </w:trPr>
              <w:tc>
                <w:tcPr>
                  <w:tcW w:type="dxa" w:w="2826"/>
                  <w:shd w:val="clear" w:color="auto" w:fill="5B96EB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  <w:tc>
                <w:tcPr>
                  <w:tcW w:type="dxa" w:w="2826"/>
                  <w:shd w:val="clear" w:color="auto" w:fill="EDF1F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</w:tr>
          </w:tbl>
          <w:p/>
        </w:tc>
        <w:tc>
          <w:tcPr>
            <w:tcW w:type="dxa" w:w="1615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right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{{share}}</w:t>
            </w:r>
          </w:p>
        </w:tc>
      </w:tr>
    </w:tbl>
    <w:p>
      <w:pPr>
        <w:keepNext w:val="0"/>
        <w:keepLines/>
        <w:pageBreakBefore w:val="0"/>
        <w:widowControl w:val="1"/>
        <w:spacing w:before="80" w:after="0"/>
      </w:pPr>
      <w:r>
        <w:rPr>
          <w:rFonts w:ascii="Calibri" w:hAnsi="Calibri" w:cs="Calibri" w:eastAsia="Calibri"/>
          <w:b w:val="0"/>
          <w:i/>
          <w:color w:val="8493A8"/>
          <w:sz w:val="14"/>
          <w:u w:val="none"/>
        </w:rPr>
        <w:t>If every option is exercised the FY2029 exposure moves to FY2032 and WALE extends to 6.4 years. Options are the tenant's to exercise, not the landlord's.</w:t>
      </w:r>
    </w:p>
    <w:p>
      <w:pPr>
        <w:keepNext w:val="0"/>
        <w:keepLines/>
        <w:pageBreakBefore w:val="0"/>
        <w:widowControl w:val="1"/>
        <w:spacing w:before="0" w:after="0" w:line="20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D6FE0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mbria" w:hAnsi="Cambria" w:cs="Cambria" w:eastAsia="Cambria"/>
                <w:b/>
                <w:i w:val="0"/>
                <w:color w:val="FFFFFF"/>
                <w:sz w:val="27"/>
                <w:u w:val="none"/>
              </w:rPr>
              <w:t>06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mbria" w:hAnsi="Cambria" w:cs="Cambria" w:eastAsia="Cambria"/>
                <w:b/>
                <w:i w:val="0"/>
                <w:caps w:val="1"/>
                <w:color w:val="FFFFFF"/>
                <w:spacing w:val="38"/>
                <w:sz w:val="25"/>
                <w:u w:val="none"/>
              </w:rPr>
              <w:t>Income &amp; outgoings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D6FE0"/>
                <w:spacing w:val="22"/>
                <w:sz w:val="14"/>
                <w:u w:val="none"/>
              </w:rPr>
              <w:t>Net income reconciliation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30"/>
          <w:sz w:val="15"/>
          <w:u w:val="none"/>
        </w:rPr>
        <w:t>Income and outgoings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Income and outgoings"/>
        <w:tblDescription w:val="Columns: Item, Amount p.a., Recoverable, Net effect"/>
      </w:tblPr>
      <w:tblGrid>
        <w:gridCol w:w="4195"/>
        <w:gridCol w:w="1928"/>
        <w:gridCol w:w="1701"/>
        <w:gridCol w:w="2268"/>
      </w:tblGrid>
      <w:tr>
        <w:trPr>
          <w:cantSplit/>
          <w:trHeight w:val="420" w:hRule="atLeast"/>
          <w:tblHeader/>
        </w:trPr>
        <w:tc>
          <w:tcPr>
            <w:tcW w:type="dxa" w:w="4195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Item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Amount p.a.</w:t>
            </w:r>
          </w:p>
        </w:tc>
        <w:tc>
          <w:tcPr>
            <w:tcW w:type="dxa" w:w="1701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Recoverable</w:t>
            </w:r>
          </w:p>
        </w:tc>
        <w:tc>
          <w:tcPr>
            <w:tcW w:type="dxa" w:w="2268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Net effect</w:t>
            </w:r>
          </w:p>
        </w:tc>
      </w:tr>
      <w:tr>
        <w:trPr>
          <w:cantSplit/>
          <w:trHeight w:val="397" w:hRule="atLeast"/>
        </w:trPr>
        <w:tc>
          <w:tcPr>
            <w:tcW w:type="dxa" w:w="419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{{amount}}</w:t>
            </w:r>
          </w:p>
        </w:tc>
        <w:tc>
          <w:tcPr>
            <w:tcW w:type="dxa" w:w="170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{{recoverable}}</w:t>
            </w:r>
          </w:p>
        </w:tc>
        <w:tc>
          <w:tcPr>
            <w:tcW w:type="dxa" w:w="226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{{net}}</w:t>
            </w:r>
          </w:p>
        </w:tc>
      </w:tr>
      <w:tr>
        <w:trPr>
          <w:cantSplit/>
          <w:trHeight w:val="397" w:hRule="atLeast"/>
        </w:trPr>
        <w:tc>
          <w:tcPr>
            <w:tcW w:type="dxa" w:w="419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{{amount}}</w:t>
            </w:r>
          </w:p>
        </w:tc>
        <w:tc>
          <w:tcPr>
            <w:tcW w:type="dxa" w:w="170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{{recoverable}}</w:t>
            </w:r>
          </w:p>
        </w:tc>
        <w:tc>
          <w:tcPr>
            <w:tcW w:type="dxa" w:w="226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{{net}}</w:t>
            </w:r>
          </w:p>
        </w:tc>
      </w:tr>
      <w:tr>
        <w:trPr>
          <w:cantSplit/>
          <w:trHeight w:val="397" w:hRule="atLeast"/>
        </w:trPr>
        <w:tc>
          <w:tcPr>
            <w:tcW w:type="dxa" w:w="419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{{amount}}</w:t>
            </w:r>
          </w:p>
        </w:tc>
        <w:tc>
          <w:tcPr>
            <w:tcW w:type="dxa" w:w="170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{{recoverable}}</w:t>
            </w:r>
          </w:p>
        </w:tc>
        <w:tc>
          <w:tcPr>
            <w:tcW w:type="dxa" w:w="226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{{net}}</w:t>
            </w:r>
          </w:p>
        </w:tc>
      </w:tr>
      <w:tr>
        <w:trPr>
          <w:cantSplit/>
          <w:trHeight w:val="397" w:hRule="atLeast"/>
        </w:trPr>
        <w:tc>
          <w:tcPr>
            <w:tcW w:type="dxa" w:w="419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{{amount}}</w:t>
            </w:r>
          </w:p>
        </w:tc>
        <w:tc>
          <w:tcPr>
            <w:tcW w:type="dxa" w:w="170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{{recoverable}}</w:t>
            </w:r>
          </w:p>
        </w:tc>
        <w:tc>
          <w:tcPr>
            <w:tcW w:type="dxa" w:w="226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{{net}}</w:t>
            </w:r>
          </w:p>
        </w:tc>
      </w:tr>
      <w:tr>
        <w:trPr>
          <w:cantSplit/>
          <w:trHeight w:val="397" w:hRule="atLeast"/>
        </w:trPr>
        <w:tc>
          <w:tcPr>
            <w:tcW w:type="dxa" w:w="419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{{amount}}</w:t>
            </w:r>
          </w:p>
        </w:tc>
        <w:tc>
          <w:tcPr>
            <w:tcW w:type="dxa" w:w="170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{{recoverable}}</w:t>
            </w:r>
          </w:p>
        </w:tc>
        <w:tc>
          <w:tcPr>
            <w:tcW w:type="dxa" w:w="226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{{net}}</w:t>
            </w:r>
          </w:p>
        </w:tc>
      </w:tr>
      <w:tr>
        <w:trPr>
          <w:cantSplit/>
          <w:trHeight w:val="397" w:hRule="atLeast"/>
        </w:trPr>
        <w:tc>
          <w:tcPr>
            <w:tcW w:type="dxa" w:w="419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{{amount}}</w:t>
            </w:r>
          </w:p>
        </w:tc>
        <w:tc>
          <w:tcPr>
            <w:tcW w:type="dxa" w:w="170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{{recoverable}}</w:t>
            </w:r>
          </w:p>
        </w:tc>
        <w:tc>
          <w:tcPr>
            <w:tcW w:type="dxa" w:w="226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{{net}}</w:t>
            </w:r>
          </w:p>
        </w:tc>
      </w:tr>
      <w:tr>
        <w:trPr>
          <w:cantSplit/>
          <w:trHeight w:val="397" w:hRule="atLeast"/>
        </w:trPr>
        <w:tc>
          <w:tcPr>
            <w:tcW w:type="dxa" w:w="4195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DCE8FB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Net passing income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DCE8FB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</w:p>
        </w:tc>
        <w:tc>
          <w:tcPr>
            <w:tcW w:type="dxa" w:w="1701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DCE8FB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</w:p>
        </w:tc>
        <w:tc>
          <w:tcPr>
            <w:tcW w:type="dxa" w:w="2268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DCE8FB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$742,000</w:t>
            </w:r>
          </w:p>
        </w:tc>
      </w:tr>
    </w:tbl>
    <w:p>
      <w:pPr>
        <w:keepNext w:val="0"/>
        <w:keepLines/>
        <w:pageBreakBefore w:val="0"/>
        <w:widowControl w:val="1"/>
        <w:spacing w:before="80" w:after="0" w:line="298" w:lineRule="auto"/>
      </w:pPr>
      <w:r>
        <w:rPr>
          <w:rFonts w:ascii="Calibri" w:hAnsi="Calibri" w:cs="Calibri" w:eastAsia="Calibri"/>
          <w:b w:val="0"/>
          <w:i/>
          <w:color w:val="8493A8"/>
          <w:sz w:val="14"/>
          <w:u w:val="none"/>
        </w:rPr>
        <w:t>Outgoings are fully recoverable under all four leases except for capital and structural repairs, which are the landlord's.</w:t>
      </w:r>
    </w:p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D6FE0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mbria" w:hAnsi="Cambria" w:cs="Cambria" w:eastAsia="Cambria"/>
                <w:b/>
                <w:i w:val="0"/>
                <w:color w:val="FFFFFF"/>
                <w:sz w:val="27"/>
                <w:u w:val="none"/>
              </w:rPr>
              <w:t>07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mbria" w:hAnsi="Cambria" w:cs="Cambria" w:eastAsia="Cambria"/>
                <w:b/>
                <w:i w:val="0"/>
                <w:caps w:val="1"/>
                <w:color w:val="FFFFFF"/>
                <w:spacing w:val="38"/>
                <w:sz w:val="25"/>
                <w:u w:val="none"/>
              </w:rPr>
              <w:t>Capitalisation analysis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D6FE0"/>
                <w:spacing w:val="22"/>
                <w:sz w:val="14"/>
                <w:u w:val="none"/>
              </w:rPr>
              <w:t>What it is worth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30"/>
          <w:sz w:val="15"/>
          <w:u w:val="none"/>
        </w:rPr>
        <w:t>Value at a range of capitalisation rates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Value at a range of capitalisation rates"/>
        <w:tblDescription w:val="Columns: Capitalisation rate, Implied value, $/m², Comment"/>
      </w:tblPr>
      <w:tblGrid>
        <w:gridCol w:w="2381"/>
        <w:gridCol w:w="2268"/>
        <w:gridCol w:w="1587"/>
        <w:gridCol w:w="3855"/>
      </w:tblGrid>
      <w:tr>
        <w:trPr>
          <w:cantSplit/>
          <w:trHeight w:val="420" w:hRule="atLeast"/>
          <w:tblHeader/>
        </w:trPr>
        <w:tc>
          <w:tcPr>
            <w:tcW w:type="dxa" w:w="2381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Capitalisation rate</w:t>
            </w:r>
          </w:p>
        </w:tc>
        <w:tc>
          <w:tcPr>
            <w:tcW w:type="dxa" w:w="2268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Implied value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$/m²</w:t>
            </w:r>
          </w:p>
        </w:tc>
        <w:tc>
          <w:tcPr>
            <w:tcW w:type="dxa" w:w="3855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Comment</w:t>
            </w:r>
          </w:p>
        </w:tc>
      </w:tr>
      <w:tr>
        <w:trPr>
          <w:cantSplit/>
          <w:trHeight w:val="397" w:hRule="atLeast"/>
        </w:trPr>
        <w:tc>
          <w:tcPr>
            <w:tcW w:type="dxa" w:w="238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{{rate}}</w:t>
            </w:r>
          </w:p>
        </w:tc>
        <w:tc>
          <w:tcPr>
            <w:tcW w:type="dxa" w:w="226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{{value}}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{{rate_sqm}}</w:t>
            </w:r>
          </w:p>
        </w:tc>
        <w:tc>
          <w:tcPr>
            <w:tcW w:type="dxa" w:w="385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{{comment}}</w:t>
            </w:r>
          </w:p>
        </w:tc>
      </w:tr>
      <w:tr>
        <w:trPr>
          <w:cantSplit/>
          <w:trHeight w:val="397" w:hRule="atLeast"/>
        </w:trPr>
        <w:tc>
          <w:tcPr>
            <w:tcW w:type="dxa" w:w="238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{{rate}}</w:t>
            </w:r>
          </w:p>
        </w:tc>
        <w:tc>
          <w:tcPr>
            <w:tcW w:type="dxa" w:w="226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{{value}}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{{rate_sqm}}</w:t>
            </w:r>
          </w:p>
        </w:tc>
        <w:tc>
          <w:tcPr>
            <w:tcW w:type="dxa" w:w="385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{{comment}}</w:t>
            </w:r>
          </w:p>
        </w:tc>
      </w:tr>
      <w:tr>
        <w:trPr>
          <w:cantSplit/>
          <w:trHeight w:val="397" w:hRule="atLeast"/>
        </w:trPr>
        <w:tc>
          <w:tcPr>
            <w:tcW w:type="dxa" w:w="238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{{rate}}</w:t>
            </w:r>
          </w:p>
        </w:tc>
        <w:tc>
          <w:tcPr>
            <w:tcW w:type="dxa" w:w="226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{{value}}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{{rate_sqm}}</w:t>
            </w:r>
          </w:p>
        </w:tc>
        <w:tc>
          <w:tcPr>
            <w:tcW w:type="dxa" w:w="385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{{comment}}</w:t>
            </w:r>
          </w:p>
        </w:tc>
      </w:tr>
      <w:tr>
        <w:trPr>
          <w:cantSplit/>
          <w:trHeight w:val="397" w:hRule="atLeast"/>
        </w:trPr>
        <w:tc>
          <w:tcPr>
            <w:tcW w:type="dxa" w:w="238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/>
                <w:color w:val="8493A8"/>
                <w:sz w:val="17"/>
                <w:u w:val="none"/>
              </w:rPr>
              <w:t>{{rate}}</w:t>
            </w:r>
          </w:p>
        </w:tc>
        <w:tc>
          <w:tcPr>
            <w:tcW w:type="dxa" w:w="226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{{value}}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{{rate_sqm}}</w:t>
            </w:r>
          </w:p>
        </w:tc>
        <w:tc>
          <w:tcPr>
            <w:tcW w:type="dxa" w:w="385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{{comment}}</w:t>
            </w:r>
          </w:p>
        </w:tc>
      </w:tr>
      <w:tr>
        <w:trPr>
          <w:cantSplit/>
          <w:trHeight w:val="397" w:hRule="atLeast"/>
        </w:trPr>
        <w:tc>
          <w:tcPr>
            <w:tcW w:type="dxa" w:w="238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{{rate}}</w:t>
            </w:r>
          </w:p>
        </w:tc>
        <w:tc>
          <w:tcPr>
            <w:tcW w:type="dxa" w:w="226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{{value}}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{{rate_sqm}}</w:t>
            </w:r>
          </w:p>
        </w:tc>
        <w:tc>
          <w:tcPr>
            <w:tcW w:type="dxa" w:w="385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{{comment}}</w:t>
            </w:r>
          </w:p>
        </w:tc>
      </w:tr>
    </w:tbl>
    <w:p>
      <w:pPr>
        <w:keepNext w:val="0"/>
        <w:keepLines/>
        <w:pageBreakBefore w:val="0"/>
        <w:widowControl w:val="1"/>
        <w:spacing w:before="80" w:after="0" w:line="298" w:lineRule="auto"/>
      </w:pPr>
      <w:r>
        <w:rPr>
          <w:rFonts w:ascii="Calibri" w:hAnsi="Calibri" w:cs="Calibri" w:eastAsia="Calibri"/>
          <w:b w:val="0"/>
          <w:i/>
          <w:color w:val="8493A8"/>
          <w:sz w:val="14"/>
          <w:u w:val="none"/>
        </w:rPr>
        <w:t>Precinct evidence over the last twelve months ranges from 6.60% to 7.40%, with the tighter rates on assets with longer WALE and stronger covenants.</w:t>
      </w:r>
    </w:p>
    <w:p>
      <w:pPr>
        <w:keepNext w:val="0"/>
        <w:keepLines/>
        <w:pageBreakBefore w:val="0"/>
        <w:widowControl w:val="1"/>
        <w:spacing w:before="0" w:after="0" w:line="20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D6FE0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mbria" w:hAnsi="Cambria" w:cs="Cambria" w:eastAsia="Cambria"/>
                <w:b/>
                <w:i w:val="0"/>
                <w:color w:val="FFFFFF"/>
                <w:sz w:val="27"/>
                <w:u w:val="none"/>
              </w:rPr>
              <w:t>08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mbria" w:hAnsi="Cambria" w:cs="Cambria" w:eastAsia="Cambria"/>
                <w:b/>
                <w:i w:val="0"/>
                <w:caps w:val="1"/>
                <w:color w:val="FFFFFF"/>
                <w:spacing w:val="38"/>
                <w:sz w:val="25"/>
                <w:u w:val="none"/>
              </w:rPr>
              <w:t>Risks &amp; mitigations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D6FE0"/>
                <w:spacing w:val="22"/>
                <w:sz w:val="14"/>
                <w:u w:val="none"/>
              </w:rPr>
              <w:t>Income at risk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B3261E"/>
          <w:spacing w:val="30"/>
          <w:sz w:val="15"/>
          <w:u w:val="none"/>
        </w:rPr>
        <w:t>Risks &amp; mitigations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Risks &amp; mitigations"/>
        <w:tblDescription w:val="Columns: Risk, Severity, Mitigation"/>
      </w:tblPr>
      <w:tblGrid>
        <w:gridCol w:w="4037"/>
        <w:gridCol w:w="1413"/>
        <w:gridCol w:w="4642"/>
      </w:tblGrid>
      <w:tr>
        <w:trPr>
          <w:cantSplit/>
          <w:tblHeader/>
        </w:trPr>
        <w:tc>
          <w:tcPr>
            <w:tcW w:type="dxa" w:w="4037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2"/>
                <w:sz w:val="15"/>
                <w:u w:val="none"/>
              </w:rPr>
              <w:t>Risk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2"/>
                <w:sz w:val="15"/>
                <w:u w:val="none"/>
              </w:rPr>
              <w:t>Severity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2"/>
                <w:sz w:val="15"/>
                <w:u w:val="none"/>
              </w:rPr>
              <w:t>Mitigation</w:t>
            </w:r>
          </w:p>
        </w:tc>
      </w:tr>
      <w:tr>
        <w:trPr>
          <w:cantSplit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{{risk.description}}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▲  MEDIUM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{{risk.mitigation}}</w:t>
            </w:r>
          </w:p>
        </w:tc>
      </w:tr>
      <w:tr>
        <w:trPr>
          <w:cantSplit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{{risk.description}}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▲  MEDIUM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{{risk.mitigation}}</w:t>
            </w:r>
          </w:p>
        </w:tc>
      </w:tr>
      <w:tr>
        <w:trPr>
          <w:cantSplit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{{risk.description}}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▲  MEDIUM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{{risk.mitigation}}</w:t>
            </w:r>
          </w:p>
        </w:tc>
      </w:tr>
      <w:tr>
        <w:trPr>
          <w:cantSplit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{{risk.description}}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▲  MEDIUM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{{risk.mitigation}}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0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D6FE0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mbria" w:hAnsi="Cambria" w:cs="Cambria" w:eastAsia="Cambria"/>
                <w:b/>
                <w:i w:val="0"/>
                <w:color w:val="FFFFFF"/>
                <w:sz w:val="27"/>
                <w:u w:val="none"/>
              </w:rPr>
              <w:t>09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mbria" w:hAnsi="Cambria" w:cs="Cambria" w:eastAsia="Cambria"/>
                <w:b/>
                <w:i w:val="0"/>
                <w:caps w:val="1"/>
                <w:color w:val="FFFFFF"/>
                <w:spacing w:val="38"/>
                <w:sz w:val="25"/>
                <w:u w:val="none"/>
              </w:rPr>
              <w:t>Recommendation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D6FE0"/>
                <w:spacing w:val="22"/>
                <w:sz w:val="14"/>
                <w:u w:val="none"/>
              </w:rPr>
              <w:t>Acquire, condition or decline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0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6" w:space="0" w:color="1D6FE0"/>
              <w:left w:val="single" w:sz="26" w:space="0" w:color="1D6FE0"/>
              <w:bottom w:val="single" w:sz="6" w:space="0" w:color="1D6FE0"/>
              <w:right w:val="single" w:sz="6" w:space="0" w:color="1D6FE0"/>
            </w:tcBorders>
            <w:shd w:val="clear" w:color="auto" w:fill="F2F7FE"/>
            <w:tcMar>
              <w:top w:w="180" w:type="dxa"/>
              <w:left w:w="210" w:type="dxa"/>
              <w:bottom w:w="180" w:type="dxa"/>
              <w:right w:w="21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10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30"/>
                <w:sz w:val="15"/>
                <w:u w:val="none"/>
              </w:rPr>
              <w:t>RECOMMENDATION</w:t>
            </w: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24"/>
                <w:sz w:val="14"/>
                <w:u w:val="none"/>
              </w:rPr>
              <w:t xml:space="preserve">     CONFIDENCE: {{REPORT.CONFIDENCE}}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120" w:line="298" w:lineRule="auto"/>
            </w:pPr>
            <w:r>
              <w:rPr>
                <w:rFonts w:ascii="Cambria" w:hAnsi="Cambria" w:cs="Cambria" w:eastAsia="Cambria"/>
                <w:b/>
                <w:i w:val="0"/>
                <w:color w:val="0C2340"/>
                <w:sz w:val="22"/>
                <w:u w:val="none"/>
              </w:rPr>
              <w:t>{{report.recommendation}}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2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{{report.rationale}}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140" w:lineRule="exact"/>
            </w:pPr>
            <w:r>
              <w:rPr>
                <w:sz w:val="2"/>
              </w:rPr>
            </w:r>
          </w:p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30"/>
                <w:sz w:val="15"/>
                <w:u w:val="none"/>
              </w:rPr>
              <w:t>Next steps</w:t>
            </w:r>
          </w:p>
          <w:p>
            <w:pPr>
              <w:keepNext w:val="0"/>
              <w:keepLines/>
              <w:pageBreakBefore w:val="0"/>
              <w:widowControl w:val="1"/>
              <w:tabs>
                <w:tab w:val="left" w:pos="320"/>
              </w:tabs>
              <w:spacing w:before="0" w:after="0" w:line="322" w:lineRule="auto"/>
              <w:ind w:left="320" w:hanging="32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9"/>
                <w:u w:val="none"/>
              </w:rPr>
              <w:t>1.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ab/>
              <w:t>{{report.nextSteps[0]}}</w:t>
            </w:r>
          </w:p>
          <w:p>
            <w:pPr>
              <w:keepNext w:val="0"/>
              <w:keepLines/>
              <w:pageBreakBefore w:val="0"/>
              <w:widowControl w:val="1"/>
              <w:tabs>
                <w:tab w:val="left" w:pos="320"/>
              </w:tabs>
              <w:spacing w:before="80" w:after="0" w:line="322" w:lineRule="auto"/>
              <w:ind w:left="320" w:hanging="32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9"/>
                <w:u w:val="none"/>
              </w:rPr>
              <w:t>2.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ab/>
              <w:t>{{report.nextSteps[1]}}</w:t>
            </w:r>
          </w:p>
          <w:p>
            <w:pPr>
              <w:keepNext w:val="0"/>
              <w:keepLines/>
              <w:pageBreakBefore w:val="0"/>
              <w:widowControl w:val="1"/>
              <w:tabs>
                <w:tab w:val="left" w:pos="320"/>
              </w:tabs>
              <w:spacing w:before="80" w:after="0" w:line="322" w:lineRule="auto"/>
              <w:ind w:left="320" w:hanging="32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9"/>
                <w:u w:val="none"/>
              </w:rPr>
              <w:t>3.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ab/>
              <w:t>{{report.nextSteps[2]}}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1D6FE0"/>
          <w:spacing w:val="54"/>
          <w:sz w:val="15"/>
          <w:u w:val="none"/>
        </w:rPr>
        <w:t>APPENDIX A</w:t>
      </w:r>
    </w:p>
    <w:p>
      <w:pPr>
        <w:keepNext/>
        <w:keepLines/>
        <w:pageBreakBefore w:val="0"/>
        <w:widowControl w:val="1"/>
        <w:spacing w:before="0" w:after="120"/>
      </w:pPr>
      <w:r>
        <w:rPr>
          <w:rFonts w:ascii="Cambria" w:hAnsi="Cambria" w:cs="Cambria" w:eastAsia="Cambria"/>
          <w:b/>
          <w:i w:val="0"/>
          <w:color w:val="0C2340"/>
          <w:sz w:val="34"/>
          <w:u w:val="none"/>
        </w:rPr>
        <w:t>Lease abstracts</w:t>
      </w:r>
    </w:p>
    <w:p>
      <w:pPr>
        <w:keepNext w:val="0"/>
        <w:keepLines/>
        <w:pageBreakBefore w:val="0"/>
        <w:widowControl w:val="1"/>
        <w:pBdr>
          <w:bottom w:val="single" w:sz="10" w:space="1" w:color="1D6FE0"/>
        </w:pBdr>
        <w:spacing w:before="0" w:after="120" w:line="2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322" w:lineRule="auto"/>
      </w:pPr>
      <w:r>
        <w:rPr>
          <w:rFonts w:ascii="Calibri" w:hAnsi="Calibri" w:cs="Calibri" w:eastAsia="Calibri"/>
          <w:b w:val="0"/>
          <w:i w:val="0"/>
          <w:color w:val="4C5B73"/>
          <w:sz w:val="19"/>
          <w:u w:val="none"/>
        </w:rPr>
        <w:t>One abstract per tenancy, with the terms that drive value.</w:t>
      </w:r>
    </w:p>
    <w:p>
      <w:pPr>
        <w:keepNext w:val="0"/>
        <w:keepLines/>
        <w:pageBreakBefore w:val="0"/>
        <w:widowControl w:val="1"/>
        <w:spacing w:before="0" w:after="0" w:line="12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Data table"/>
        <w:tblDescription w:val="Columns: Ref, Term, Tenancy 1, Tenancy 2, Tenancy 3, Tenancy 4"/>
      </w:tblPr>
      <w:tblGrid>
        <w:gridCol w:w="850"/>
        <w:gridCol w:w="2443"/>
        <w:gridCol w:w="1700"/>
        <w:gridCol w:w="1700"/>
        <w:gridCol w:w="1700"/>
        <w:gridCol w:w="1700"/>
      </w:tblGrid>
      <w:tr>
        <w:trPr>
          <w:cantSplit/>
          <w:trHeight w:val="420" w:hRule="atLeast"/>
          <w:tblHeader/>
        </w:trPr>
        <w:tc>
          <w:tcPr>
            <w:tcW w:type="dxa" w:w="850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Ref</w:t>
            </w:r>
          </w:p>
        </w:tc>
        <w:tc>
          <w:tcPr>
            <w:tcW w:type="dxa" w:w="2443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Term</w:t>
            </w:r>
          </w:p>
        </w:tc>
        <w:tc>
          <w:tcPr>
            <w:tcW w:type="dxa" w:w="1700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Tenancy 1</w:t>
            </w:r>
          </w:p>
        </w:tc>
        <w:tc>
          <w:tcPr>
            <w:tcW w:type="dxa" w:w="1700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Tenancy 2</w:t>
            </w:r>
          </w:p>
        </w:tc>
        <w:tc>
          <w:tcPr>
            <w:tcW w:type="dxa" w:w="1700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Tenancy 3</w:t>
            </w:r>
          </w:p>
        </w:tc>
        <w:tc>
          <w:tcPr>
            <w:tcW w:type="dxa" w:w="1700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Tenancy 4</w:t>
            </w:r>
          </w:p>
        </w:tc>
      </w:tr>
      <w:tr>
        <w:trPr>
          <w:cantSplit/>
          <w:trHeight w:val="397" w:hRule="atLeast"/>
        </w:trPr>
        <w:tc>
          <w:tcPr>
            <w:tcW w:type="dxa" w:w="85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244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{{term}}</w:t>
            </w:r>
          </w:p>
        </w:tc>
        <w:tc>
          <w:tcPr>
            <w:tcW w:type="dxa" w:w="170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{{t1}}</w:t>
            </w:r>
          </w:p>
        </w:tc>
        <w:tc>
          <w:tcPr>
            <w:tcW w:type="dxa" w:w="170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{{t2}}</w:t>
            </w:r>
          </w:p>
        </w:tc>
        <w:tc>
          <w:tcPr>
            <w:tcW w:type="dxa" w:w="170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{{t3}}</w:t>
            </w:r>
          </w:p>
        </w:tc>
        <w:tc>
          <w:tcPr>
            <w:tcW w:type="dxa" w:w="170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{{t4}}</w:t>
            </w:r>
          </w:p>
        </w:tc>
      </w:tr>
      <w:tr>
        <w:trPr>
          <w:cantSplit/>
          <w:trHeight w:val="397" w:hRule="atLeast"/>
        </w:trPr>
        <w:tc>
          <w:tcPr>
            <w:tcW w:type="dxa" w:w="85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244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{{term}}</w:t>
            </w:r>
          </w:p>
        </w:tc>
        <w:tc>
          <w:tcPr>
            <w:tcW w:type="dxa" w:w="170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{{t1}}</w:t>
            </w:r>
          </w:p>
        </w:tc>
        <w:tc>
          <w:tcPr>
            <w:tcW w:type="dxa" w:w="170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{{t2}}</w:t>
            </w:r>
          </w:p>
        </w:tc>
        <w:tc>
          <w:tcPr>
            <w:tcW w:type="dxa" w:w="170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{{t3}}</w:t>
            </w:r>
          </w:p>
        </w:tc>
        <w:tc>
          <w:tcPr>
            <w:tcW w:type="dxa" w:w="170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{{t4}}</w:t>
            </w:r>
          </w:p>
        </w:tc>
      </w:tr>
      <w:tr>
        <w:trPr>
          <w:cantSplit/>
          <w:trHeight w:val="397" w:hRule="atLeast"/>
        </w:trPr>
        <w:tc>
          <w:tcPr>
            <w:tcW w:type="dxa" w:w="85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244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{{term}}</w:t>
            </w:r>
          </w:p>
        </w:tc>
        <w:tc>
          <w:tcPr>
            <w:tcW w:type="dxa" w:w="170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{{t1}}</w:t>
            </w:r>
          </w:p>
        </w:tc>
        <w:tc>
          <w:tcPr>
            <w:tcW w:type="dxa" w:w="170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{{t2}}</w:t>
            </w:r>
          </w:p>
        </w:tc>
        <w:tc>
          <w:tcPr>
            <w:tcW w:type="dxa" w:w="170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{{t3}}</w:t>
            </w:r>
          </w:p>
        </w:tc>
        <w:tc>
          <w:tcPr>
            <w:tcW w:type="dxa" w:w="170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{{t4}}</w:t>
            </w:r>
          </w:p>
        </w:tc>
      </w:tr>
      <w:tr>
        <w:trPr>
          <w:cantSplit/>
          <w:trHeight w:val="397" w:hRule="atLeast"/>
        </w:trPr>
        <w:tc>
          <w:tcPr>
            <w:tcW w:type="dxa" w:w="85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244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{{term}}</w:t>
            </w:r>
          </w:p>
        </w:tc>
        <w:tc>
          <w:tcPr>
            <w:tcW w:type="dxa" w:w="170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{{t1}}</w:t>
            </w:r>
          </w:p>
        </w:tc>
        <w:tc>
          <w:tcPr>
            <w:tcW w:type="dxa" w:w="170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{{t2}}</w:t>
            </w:r>
          </w:p>
        </w:tc>
        <w:tc>
          <w:tcPr>
            <w:tcW w:type="dxa" w:w="170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{{t3}}</w:t>
            </w:r>
          </w:p>
        </w:tc>
        <w:tc>
          <w:tcPr>
            <w:tcW w:type="dxa" w:w="170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{{t4}}</w:t>
            </w:r>
          </w:p>
        </w:tc>
      </w:tr>
      <w:tr>
        <w:trPr>
          <w:cantSplit/>
          <w:trHeight w:val="397" w:hRule="atLeast"/>
        </w:trPr>
        <w:tc>
          <w:tcPr>
            <w:tcW w:type="dxa" w:w="85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244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{{term}}</w:t>
            </w:r>
          </w:p>
        </w:tc>
        <w:tc>
          <w:tcPr>
            <w:tcW w:type="dxa" w:w="170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{{t1}}</w:t>
            </w:r>
          </w:p>
        </w:tc>
        <w:tc>
          <w:tcPr>
            <w:tcW w:type="dxa" w:w="170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{{t2}}</w:t>
            </w:r>
          </w:p>
        </w:tc>
        <w:tc>
          <w:tcPr>
            <w:tcW w:type="dxa" w:w="170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{{t3}}</w:t>
            </w:r>
          </w:p>
        </w:tc>
        <w:tc>
          <w:tcPr>
            <w:tcW w:type="dxa" w:w="170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{{t4}}</w:t>
            </w:r>
          </w:p>
        </w:tc>
      </w:tr>
      <w:tr>
        <w:trPr>
          <w:cantSplit/>
          <w:trHeight w:val="397" w:hRule="atLeast"/>
        </w:trPr>
        <w:tc>
          <w:tcPr>
            <w:tcW w:type="dxa" w:w="85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244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{{term}}</w:t>
            </w:r>
          </w:p>
        </w:tc>
        <w:tc>
          <w:tcPr>
            <w:tcW w:type="dxa" w:w="170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{{t1}}</w:t>
            </w:r>
          </w:p>
        </w:tc>
        <w:tc>
          <w:tcPr>
            <w:tcW w:type="dxa" w:w="170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{{t2}}</w:t>
            </w:r>
          </w:p>
        </w:tc>
        <w:tc>
          <w:tcPr>
            <w:tcW w:type="dxa" w:w="170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{{t3}}</w:t>
            </w:r>
          </w:p>
        </w:tc>
        <w:tc>
          <w:tcPr>
            <w:tcW w:type="dxa" w:w="170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{{t4}}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D6FE0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mbria" w:hAnsi="Cambria" w:cs="Cambria" w:eastAsia="Cambria"/>
                <w:b/>
                <w:i w:val="0"/>
                <w:caps w:val="1"/>
                <w:color w:val="FFFFFF"/>
                <w:spacing w:val="38"/>
                <w:sz w:val="25"/>
                <w:u w:val="none"/>
              </w:rPr>
              <w:t>Important information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D6FE0"/>
                <w:spacing w:val="22"/>
                <w:sz w:val="14"/>
                <w:u w:val="none"/>
              </w:rPr>
              <w:t>Disclaimer, privacy and terms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160" w:after="80"/>
      </w:pPr>
      <w:r>
        <w:rPr>
          <w:rFonts w:ascii="Cambria" w:hAnsi="Cambria" w:cs="Cambria" w:eastAsia="Cambria"/>
          <w:b/>
          <w:i w:val="0"/>
          <w:color w:val="0C2340"/>
          <w:sz w:val="21"/>
          <w:u w:val="none"/>
        </w:rPr>
        <w:t>Disclaimer</w:t>
      </w:r>
    </w:p>
    <w:p>
      <w:pPr>
        <w:keepNext w:val="0"/>
        <w:keepLines/>
        <w:pageBreakBefore w:val="0"/>
        <w:widowControl w:val="1"/>
        <w:spacing w:before="0" w:after="0" w:line="322" w:lineRule="auto"/>
      </w:pPr>
      <w:r>
        <w:rPr>
          <w:rFonts w:ascii="Calibri" w:hAnsi="Calibri" w:cs="Calibri" w:eastAsia="Calibri"/>
          <w:b w:val="0"/>
          <w:i w:val="0"/>
          <w:color w:val="4C5B73"/>
          <w:sz w:val="17"/>
          <w:u w:val="none"/>
        </w:rPr>
        <w:t>{{legal.disclaimer}}</w:t>
      </w:r>
    </w:p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160" w:after="80"/>
      </w:pPr>
      <w:r>
        <w:rPr>
          <w:rFonts w:ascii="Cambria" w:hAnsi="Cambria" w:cs="Cambria" w:eastAsia="Cambria"/>
          <w:b/>
          <w:i w:val="0"/>
          <w:color w:val="0C2340"/>
          <w:sz w:val="21"/>
          <w:u w:val="none"/>
        </w:rPr>
        <w:t>Privacy</w:t>
      </w:r>
    </w:p>
    <w:p>
      <w:pPr>
        <w:keepNext w:val="0"/>
        <w:keepLines/>
        <w:pageBreakBefore w:val="0"/>
        <w:widowControl w:val="1"/>
        <w:spacing w:before="0" w:after="0" w:line="322" w:lineRule="auto"/>
      </w:pPr>
      <w:r>
        <w:rPr>
          <w:rFonts w:ascii="Calibri" w:hAnsi="Calibri" w:cs="Calibri" w:eastAsia="Calibri"/>
          <w:b w:val="0"/>
          <w:i w:val="0"/>
          <w:color w:val="4C5B73"/>
          <w:sz w:val="17"/>
          <w:u w:val="none"/>
        </w:rPr>
        <w:t>{{legal.privacyNotice}}</w:t>
      </w:r>
    </w:p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160" w:after="80"/>
      </w:pPr>
      <w:r>
        <w:rPr>
          <w:rFonts w:ascii="Cambria" w:hAnsi="Cambria" w:cs="Cambria" w:eastAsia="Cambria"/>
          <w:b/>
          <w:i w:val="0"/>
          <w:color w:val="0C2340"/>
          <w:sz w:val="21"/>
          <w:u w:val="none"/>
        </w:rPr>
        <w:t>Terms of use</w:t>
      </w:r>
    </w:p>
    <w:p>
      <w:pPr>
        <w:keepNext w:val="0"/>
        <w:keepLines/>
        <w:pageBreakBefore w:val="0"/>
        <w:widowControl w:val="1"/>
        <w:spacing w:before="0" w:after="0" w:line="322" w:lineRule="auto"/>
      </w:pPr>
      <w:r>
        <w:rPr>
          <w:rFonts w:ascii="Calibri" w:hAnsi="Calibri" w:cs="Calibri" w:eastAsia="Calibri"/>
          <w:b w:val="0"/>
          <w:i w:val="0"/>
          <w:color w:val="4C5B73"/>
          <w:sz w:val="17"/>
          <w:u w:val="none"/>
        </w:rPr>
        <w:t>{{legal.terms}}</w:t>
      </w:r>
    </w:p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sectPr w:rsidR="00FC693F" w:rsidRPr="0006063C" w:rsidSect="00034616">
      <w:headerReference w:type="first" r:id="rId9"/>
      <w:headerReference w:type="default" r:id="rId10"/>
      <w:footerReference w:type="default" r:id="rId11"/>
      <w:footerReference w:type="first" r:id="rId12"/>
      <w:pgSz w:w="11906" w:h="16838"/>
      <w:pgMar w:top="1361" w:right="907" w:bottom="1134" w:left="907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651"/>
      <w:gridCol w:w="4440"/>
    </w:tblGrid>
    <w:tr>
      <w:trPr>
        <w:cantSplit/>
      </w:trPr>
      <w:tc>
        <w:tcPr>
          <w:tcW w:type="dxa" w:w="5651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1D6FE0"/>
              <w:spacing w:val="30"/>
              <w:sz w:val="14"/>
              <w:u w:val="none"/>
            </w:rPr>
            <w:t>COMMERCIAL IN CONFIDENCE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{{document.reference}}</w:t>
          </w:r>
        </w:p>
      </w:tc>
      <w:tc>
        <w:tcPr>
          <w:tcW w:type="dxa" w:w="4440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Aurixa Systems    |   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t>v{{document.version}}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|    Page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PAGE </w:instrText>
            <w:fldChar w:fldCharType="separate"/>
            <w:fldChar w:fldCharType="end"/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of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NUMPAGES </w:instrText>
            <w:fldChar w:fldCharType="separate"/>
            <w:fldChar w:fldCharType="end"/>
          </w:r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651"/>
      <w:gridCol w:w="4440"/>
    </w:tblGrid>
    <w:tr>
      <w:trPr>
        <w:cantSplit/>
      </w:trPr>
      <w:tc>
        <w:tcPr>
          <w:tcW w:type="dxa" w:w="5651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1D6FE0"/>
              <w:spacing w:val="30"/>
              <w:sz w:val="14"/>
              <w:u w:val="none"/>
            </w:rPr>
            <w:t>COMMERCIAL IN CONFIDENCE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{{document.reference}}</w:t>
          </w:r>
        </w:p>
      </w:tc>
      <w:tc>
        <w:tcPr>
          <w:tcW w:type="dxa" w:w="4440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Aurixa Systems    |   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t>v{{document.version}}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|    Page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PAGE </w:instrText>
            <w:fldChar w:fldCharType="separate"/>
            <w:fldChar w:fldCharType="end"/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of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NUMPAGES </w:instrText>
            <w:fldChar w:fldCharType="separate"/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046"/>
      <w:gridCol w:w="5046"/>
    </w:tblGrid>
    <w:tr>
      <w:trPr>
        <w:cantSplit/>
      </w:trPr>
      <w:tc>
        <w:tcPr>
          <w:tcW w:type="dxa" w:w="5046"/>
          <w:tcBorders>
            <w:top w:val="nil"/>
            <w:left w:val="nil"/>
            <w:bottom w:val="single" w:sz="6" w:space="0" w:color="1D6FE0"/>
            <w:right w:val="nil"/>
          </w:tcBorders>
          <w:tcMar>
            <w:top w:w="0" w:type="dxa"/>
            <w:left w:w="0" w:type="dxa"/>
            <w:bottom w:w="7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4C5B73"/>
              <w:spacing w:val="30"/>
              <w:sz w:val="14"/>
              <w:u w:val="none"/>
            </w:rPr>
            <w:t>Aurixa Systems</w:t>
          </w:r>
        </w:p>
      </w:tc>
      <w:tc>
        <w:tcPr>
          <w:tcW w:type="dxa" w:w="5046"/>
          <w:tcBorders>
            <w:top w:val="nil"/>
            <w:left w:val="nil"/>
            <w:bottom w:val="single" w:sz="6" w:space="0" w:color="1D6FE0"/>
            <w:right w:val="nil"/>
          </w:tcBorders>
          <w:tcMar>
            <w:top w:w="0" w:type="dxa"/>
            <w:left w:w="0" w:type="dxa"/>
            <w:bottom w:w="7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/>
              <w:i w:val="0"/>
              <w:caps w:val="1"/>
              <w:color w:val="4C5B73"/>
              <w:spacing w:val="30"/>
              <w:sz w:val="14"/>
              <w:u w:val="none"/>
            </w:rPr>
            <w:t>Commercial Property Assessment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322" w:lineRule="auto"/>
    </w:pPr>
    <w:rPr>
      <w:rFonts w:ascii="Calibri" w:hAnsi="Calibri" w:cs="Calibri" w:eastAsia="Calibri"/>
      <w:color w:val="1019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Commercial Property Assessment</dc:title>
  <dc:subject>Assessment of a commercial or industrial asset: tenancy, lease covenants, WALE, outgoings, capitalisation and the investment position.</dc:subject>
  <dc:creator>Aurixa Systems</dc:creator>
  <cp:keywords>Commercial property, Industrial assessment, Income asset, Property &amp; Buyer's Agency, Aurixa</cp:keywords>
  <dc:description>Generated by the Aurixa Command Center template library (scripts/aurixa-templates). Edit the builder and regenerate rather than editing this file by hand.</dc:description>
  <cp:lastModifiedBy>Aurixa Systems</cp:lastModifiedBy>
  <cp:revision>1</cp:revision>
  <dcterms:created xsi:type="dcterms:W3CDTF">2013-12-23T23:15:00Z</dcterms:created>
  <dcterms:modified xsi:type="dcterms:W3CDTF">2013-12-23T23:15:00Z</dcterms:modified>
  <cp:category>Aurixa Command Center template</cp:category>
</cp:coreProperties>
</file>