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2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6"/>
                <w:sz w:val="16"/>
                <w:u w:val="none"/>
              </w:rPr>
              <w:t>Residual land value &amp; profitability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{{project.identity}}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24 UNITS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RESIDUAL LV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STRESS-TESTED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Contents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Feasibility metrics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Assumptions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Scheme &amp; yield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Revenue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Costs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Funding &amp; cash flow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08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Programme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09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Sensitivity analysis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10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 &amp; mitigations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11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Conclusion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A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Full model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01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Executive summary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Does the scheme work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0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0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02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Feasibility metrics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The headline outcome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RESIDUAL LAND VALUE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DEVELOPMENT PROFIT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MARGIN ON COST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PROJECT IRR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{{feasibility.residual}}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At 20% hurdle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{{feasibility.profit}}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At asking land price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{{feasibility.margin}}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Hurdle 20%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{{feasibility.irr}}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Ungeared, 30 months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03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Assumptions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Every input, with its basis and date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Feasibility assumptions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9"/>
              <w:gridCol w:w="2893"/>
              <w:gridCol w:w="1929"/>
              <w:gridCol w:w="2893"/>
            </w:tblGrid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Land price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{{assumptions.land}}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Scheme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{{assumptions.scheme}}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Saleable area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{{assumptions.saleable}}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Construction rate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{{assumptions.buildRate}}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Professional fees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{{assumptions.profFees}}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Statutory contributions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{{assumptions.contributions}}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Contingency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{{assumptions.contingency}}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Selling costs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{{assumptions.sellingCosts}}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Finance rate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{{assumptions.financeRate}}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LVR / LCR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{{assumptions.lvr}}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Programme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{{assumptions.programme}}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Hurdle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{{assumptions.hurdle}}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Construction rate is from a quantity surveyor's elemental estimate dated 18 July 2026. Contributions are from the council's current contributions plan and are subject to indexation at the date of the construction certificate.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04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Scheme &amp; yield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is being built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Product mix and yield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Product mix and yield"/>
        <w:tblDescription w:val="Columns: Product, Count, Avg area m², Total area m², Rate $/m², Avg price, Gross realisation"/>
      </w:tblPr>
      <w:tblGrid>
        <w:gridCol w:w="1743"/>
        <w:gridCol w:w="917"/>
        <w:gridCol w:w="1284"/>
        <w:gridCol w:w="1376"/>
        <w:gridCol w:w="1284"/>
        <w:gridCol w:w="1560"/>
        <w:gridCol w:w="1927"/>
      </w:tblGrid>
      <w:tr>
        <w:trPr>
          <w:cantSplit/>
          <w:trHeight w:val="420" w:hRule="atLeast"/>
          <w:tblHeader/>
        </w:trPr>
        <w:tc>
          <w:tcPr>
            <w:tcW w:type="dxa" w:w="174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Product</w:t>
            </w:r>
          </w:p>
        </w:tc>
        <w:tc>
          <w:tcPr>
            <w:tcW w:type="dxa" w:w="91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Count</w:t>
            </w:r>
          </w:p>
        </w:tc>
        <w:tc>
          <w:tcPr>
            <w:tcW w:type="dxa" w:w="128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Avg area m²</w:t>
            </w:r>
          </w:p>
        </w:tc>
        <w:tc>
          <w:tcPr>
            <w:tcW w:type="dxa" w:w="137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Total area m²</w:t>
            </w:r>
          </w:p>
        </w:tc>
        <w:tc>
          <w:tcPr>
            <w:tcW w:type="dxa" w:w="128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Rate $/m²</w:t>
            </w:r>
          </w:p>
        </w:tc>
        <w:tc>
          <w:tcPr>
            <w:tcW w:type="dxa" w:w="156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Avg price</w:t>
            </w:r>
          </w:p>
        </w:tc>
        <w:tc>
          <w:tcPr>
            <w:tcW w:type="dxa" w:w="192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Gross realisation</w:t>
            </w:r>
          </w:p>
        </w:tc>
      </w:tr>
      <w:tr>
        <w:trPr>
          <w:cantSplit/>
          <w:trHeight w:val="397" w:hRule="atLeast"/>
        </w:trPr>
        <w:tc>
          <w:tcPr>
            <w:tcW w:type="dxa" w:w="17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{{product}}</w:t>
            </w:r>
          </w:p>
        </w:tc>
        <w:tc>
          <w:tcPr>
            <w:tcW w:type="dxa" w:w="91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{{avgArea}}</w:t>
            </w:r>
          </w:p>
        </w:tc>
        <w:tc>
          <w:tcPr>
            <w:tcW w:type="dxa" w:w="137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{{totalArea}}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6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{{avgPrice}}</w:t>
            </w:r>
          </w:p>
        </w:tc>
        <w:tc>
          <w:tcPr>
            <w:tcW w:type="dxa" w:w="192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</w:tr>
      <w:tr>
        <w:trPr>
          <w:cantSplit/>
          <w:trHeight w:val="397" w:hRule="atLeast"/>
        </w:trPr>
        <w:tc>
          <w:tcPr>
            <w:tcW w:type="dxa" w:w="17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{{product}}</w:t>
            </w:r>
          </w:p>
        </w:tc>
        <w:tc>
          <w:tcPr>
            <w:tcW w:type="dxa" w:w="91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{{avgArea}}</w:t>
            </w:r>
          </w:p>
        </w:tc>
        <w:tc>
          <w:tcPr>
            <w:tcW w:type="dxa" w:w="137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{{totalArea}}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6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{{avgPrice}}</w:t>
            </w:r>
          </w:p>
        </w:tc>
        <w:tc>
          <w:tcPr>
            <w:tcW w:type="dxa" w:w="192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</w:tr>
      <w:tr>
        <w:trPr>
          <w:cantSplit/>
          <w:trHeight w:val="397" w:hRule="atLeast"/>
        </w:trPr>
        <w:tc>
          <w:tcPr>
            <w:tcW w:type="dxa" w:w="17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{{product}}</w:t>
            </w:r>
          </w:p>
        </w:tc>
        <w:tc>
          <w:tcPr>
            <w:tcW w:type="dxa" w:w="91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{{avgArea}}</w:t>
            </w:r>
          </w:p>
        </w:tc>
        <w:tc>
          <w:tcPr>
            <w:tcW w:type="dxa" w:w="137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{{totalArea}}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6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{{avgPrice}}</w:t>
            </w:r>
          </w:p>
        </w:tc>
        <w:tc>
          <w:tcPr>
            <w:tcW w:type="dxa" w:w="192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</w:tr>
      <w:tr>
        <w:trPr>
          <w:cantSplit/>
          <w:trHeight w:val="397" w:hRule="atLeast"/>
        </w:trPr>
        <w:tc>
          <w:tcPr>
            <w:tcW w:type="dxa" w:w="17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{{product}}</w:t>
            </w:r>
          </w:p>
        </w:tc>
        <w:tc>
          <w:tcPr>
            <w:tcW w:type="dxa" w:w="91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{{avgArea}}</w:t>
            </w:r>
          </w:p>
        </w:tc>
        <w:tc>
          <w:tcPr>
            <w:tcW w:type="dxa" w:w="137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{{totalArea}}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6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{{avgPrice}}</w:t>
            </w:r>
          </w:p>
        </w:tc>
        <w:tc>
          <w:tcPr>
            <w:tcW w:type="dxa" w:w="192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</w:tr>
      <w:tr>
        <w:trPr>
          <w:cantSplit/>
          <w:trHeight w:val="397" w:hRule="atLeast"/>
        </w:trPr>
        <w:tc>
          <w:tcPr>
            <w:tcW w:type="dxa" w:w="174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</w:t>
            </w:r>
          </w:p>
        </w:tc>
        <w:tc>
          <w:tcPr>
            <w:tcW w:type="dxa" w:w="917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24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91</w:t>
            </w:r>
          </w:p>
        </w:tc>
        <w:tc>
          <w:tcPr>
            <w:tcW w:type="dxa" w:w="1376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2,184</w:t>
            </w:r>
          </w:p>
        </w:tc>
        <w:tc>
          <w:tcPr>
            <w:tcW w:type="dxa" w:w="1284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$10,440</w:t>
            </w:r>
          </w:p>
        </w:tc>
        <w:tc>
          <w:tcPr>
            <w:tcW w:type="dxa" w:w="1560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927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$22,985,200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Rates are from comparable off-the-plan sales in the precinct over the last nine months, adjusted for level, aspect and completion date.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05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Revenue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Gross realisation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Revenue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evenue"/>
        <w:tblDescription w:val="Columns: Item, Basis, Amount"/>
      </w:tblPr>
      <w:tblGrid>
        <w:gridCol w:w="3515"/>
        <w:gridCol w:w="3742"/>
        <w:gridCol w:w="2835"/>
      </w:tblGrid>
      <w:tr>
        <w:trPr>
          <w:cantSplit/>
          <w:trHeight w:val="420" w:hRule="atLeast"/>
          <w:tblHeader/>
        </w:trPr>
        <w:tc>
          <w:tcPr>
            <w:tcW w:type="dxa" w:w="351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374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374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374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374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374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Net realisation</w:t>
            </w:r>
          </w:p>
        </w:tc>
        <w:tc>
          <w:tcPr>
            <w:tcW w:type="dxa" w:w="3742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$21,551,200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06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Costs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Every line, grouped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Development costs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evelopment costs"/>
        <w:tblDescription w:val="Columns: Group, Item, Basis, Amount"/>
      </w:tblPr>
      <w:tblGrid>
        <w:gridCol w:w="1928"/>
        <w:gridCol w:w="3288"/>
        <w:gridCol w:w="2835"/>
        <w:gridCol w:w="2041"/>
      </w:tblGrid>
      <w:tr>
        <w:trPr>
          <w:cantSplit/>
          <w:trHeight w:val="420" w:hRule="atLeast"/>
          <w:tblHeader/>
        </w:trPr>
        <w:tc>
          <w:tcPr>
            <w:tcW w:type="dxa" w:w="192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Group</w:t>
            </w:r>
          </w:p>
        </w:tc>
        <w:tc>
          <w:tcPr>
            <w:tcW w:type="dxa" w:w="328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{{group}}</w:t>
            </w: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{{group}}</w:t>
            </w: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{{group}}</w:t>
            </w: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{{group}}</w:t>
            </w: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{{group}}</w:t>
            </w: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{{group}}</w:t>
            </w: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{{group}}</w:t>
            </w: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{{group}}</w:t>
            </w: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92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3288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development cost</w:t>
            </w:r>
          </w:p>
        </w:tc>
        <w:tc>
          <w:tcPr>
            <w:tcW w:type="dxa" w:w="2835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041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$21,393,472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Construction is 57% of total cost, which is why the sensitivity in section nine is dominated by the build rate.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07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Funding &amp; cash flow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Drawdown against programme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061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8"/>
                <w:u w:val="none"/>
              </w:rPr>
              <w:t>Debt drawdown and repayment against programme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AREA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8493A8"/>
                <w:sz w:val="14"/>
                <w:u w:val="none"/>
              </w:rPr>
              <w:t>{{funding.series}}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30 months, peak debt $11.4m   ·   Source: Aurixa feasibility model   ·   Alt text: Debt peaks at $11.4m in month 24 and is repaid from settlements between months 27 and 30</w:t>
      </w:r>
    </w:p>
    <w:p>
      <w:pPr>
        <w:keepNext w:val="0"/>
        <w:keepLines/>
        <w:pageBreakBefore w:val="0"/>
        <w:widowControl w:val="1"/>
        <w:spacing w:before="0" w:after="0" w:line="96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Funding structure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Funding structure"/>
        <w:tblDescription w:val="Columns: Facility, Limit, Rate, Drawn at peak, Purpose"/>
      </w:tblPr>
      <w:tblGrid>
        <w:gridCol w:w="2440"/>
        <w:gridCol w:w="1885"/>
        <w:gridCol w:w="1331"/>
        <w:gridCol w:w="1885"/>
        <w:gridCol w:w="2551"/>
      </w:tblGrid>
      <w:tr>
        <w:trPr>
          <w:cantSplit/>
          <w:trHeight w:val="420" w:hRule="atLeast"/>
          <w:tblHeader/>
        </w:trPr>
        <w:tc>
          <w:tcPr>
            <w:tcW w:type="dxa" w:w="244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Facility</w:t>
            </w:r>
          </w:p>
        </w:tc>
        <w:tc>
          <w:tcPr>
            <w:tcW w:type="dxa" w:w="188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Limit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Rate</w:t>
            </w:r>
          </w:p>
        </w:tc>
        <w:tc>
          <w:tcPr>
            <w:tcW w:type="dxa" w:w="188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Drawn at peak</w:t>
            </w:r>
          </w:p>
        </w:tc>
        <w:tc>
          <w:tcPr>
            <w:tcW w:type="dxa" w:w="255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Purpose</w:t>
            </w:r>
          </w:p>
        </w:tc>
      </w:tr>
      <w:tr>
        <w:trPr>
          <w:cantSplit/>
          <w:trHeight w:val="397" w:hRule="atLeast"/>
        </w:trPr>
        <w:tc>
          <w:tcPr>
            <w:tcW w:type="dxa" w:w="244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{{facility}}</w:t>
            </w:r>
          </w:p>
        </w:tc>
        <w:tc>
          <w:tcPr>
            <w:tcW w:type="dxa" w:w="188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33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88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{{drawn}}</w:t>
            </w:r>
          </w:p>
        </w:tc>
        <w:tc>
          <w:tcPr>
            <w:tcW w:type="dxa" w:w="255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{{purpose}}</w:t>
            </w:r>
          </w:p>
        </w:tc>
      </w:tr>
      <w:tr>
        <w:trPr>
          <w:cantSplit/>
          <w:trHeight w:val="397" w:hRule="atLeast"/>
        </w:trPr>
        <w:tc>
          <w:tcPr>
            <w:tcW w:type="dxa" w:w="244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{{facility}}</w:t>
            </w:r>
          </w:p>
        </w:tc>
        <w:tc>
          <w:tcPr>
            <w:tcW w:type="dxa" w:w="188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33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88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{{drawn}}</w:t>
            </w:r>
          </w:p>
        </w:tc>
        <w:tc>
          <w:tcPr>
            <w:tcW w:type="dxa" w:w="255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{{purpose}}</w:t>
            </w:r>
          </w:p>
        </w:tc>
      </w:tr>
      <w:tr>
        <w:trPr>
          <w:cantSplit/>
          <w:trHeight w:val="397" w:hRule="atLeast"/>
        </w:trPr>
        <w:tc>
          <w:tcPr>
            <w:tcW w:type="dxa" w:w="244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Peak debt</w:t>
            </w:r>
          </w:p>
        </w:tc>
        <w:tc>
          <w:tcPr>
            <w:tcW w:type="dxa" w:w="1885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$12,670,000</w:t>
            </w:r>
          </w:p>
        </w:tc>
        <w:tc>
          <w:tcPr>
            <w:tcW w:type="dxa" w:w="1331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885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$11,400,000</w:t>
            </w:r>
          </w:p>
        </w:tc>
        <w:tc>
          <w:tcPr>
            <w:tcW w:type="dxa" w:w="2551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Peak debt of $11.4m is 49.6% of gross realisation and 53.3% of total development cost, both inside typical senior-debt parameters.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08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Programme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Acquisition to final settlement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Development programme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09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Sensitivity analysis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The three inputs that matter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Sensitivity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ensitivity"/>
        <w:tblDescription w:val="Compares: Base, Build +5%, Revenue −5%, Programme +6 mths, Upside"/>
      </w:tblPr>
      <w:tblGrid>
        <w:gridCol w:w="2624"/>
        <w:gridCol w:w="1494"/>
        <w:gridCol w:w="1494"/>
        <w:gridCol w:w="1494"/>
        <w:gridCol w:w="1494"/>
        <w:gridCol w:w="1494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Base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Build +5%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Revenue −5%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Programme +6 mths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D6FE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Upside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Total cost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$21.39m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$22.03m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$21.39m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$21.65m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$21.39m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Net realisation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$21.55m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$21.55m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$20.47m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$21.55m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$22.63m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Development profit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$3.38m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$2.74m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$2.30m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$3.12m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$4.46m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Margin on cost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17.4%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14.1%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11.8%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16.0%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22.9%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Against 20% hurdle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Below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Below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Below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Below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Above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Residual land value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$3.72m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$3.12m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$2.68m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$3.48m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$4.74m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10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Risks &amp; mitigations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could break it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24"/>
          <w:sz w:val="15"/>
          <w:u w:val="none"/>
        </w:rPr>
        <w:t>Risks &amp;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&amp;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11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Conclusion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Proceed, revise or abandon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CONCLUSION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{{report.conclusion}}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{{report.conclusionRationale}}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1D6FE0"/>
          <w:spacing w:val="48"/>
          <w:sz w:val="15"/>
          <w:u w:val="none"/>
        </w:rPr>
        <w:t>APPENDIX A</w:t>
      </w:r>
    </w:p>
    <w:p>
      <w:pPr>
        <w:keepNext/>
        <w:keepLines/>
        <w:pageBreakBefore w:val="0"/>
        <w:widowControl w:val="1"/>
        <w:spacing w:before="0" w:after="120"/>
      </w:pPr>
      <w:r>
        <w:rPr>
          <w:rFonts w:ascii="Calibri" w:hAnsi="Calibri" w:cs="Calibri" w:eastAsia="Calibri"/>
          <w:b/>
          <w:i w:val="0"/>
          <w:color w:val="0C2340"/>
          <w:sz w:val="34"/>
          <w:u w:val="none"/>
        </w:rPr>
        <w:t>Full model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12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9"/>
          <w:u w:val="none"/>
        </w:rPr>
        <w:t>Line-level model output supporting the summaries above.</w:t>
      </w:r>
    </w:p>
    <w:p>
      <w:pPr>
        <w:keepNext w:val="0"/>
        <w:keepLines/>
        <w:pageBreakBefore w:val="0"/>
        <w:widowControl w:val="1"/>
        <w:spacing w:before="0" w:after="0" w:line="96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Line, Description, Quantity, Rate, Amount"/>
      </w:tblPr>
      <w:tblGrid>
        <w:gridCol w:w="1121"/>
        <w:gridCol w:w="4149"/>
        <w:gridCol w:w="1458"/>
        <w:gridCol w:w="1570"/>
        <w:gridCol w:w="1794"/>
      </w:tblGrid>
      <w:tr>
        <w:trPr>
          <w:cantSplit/>
          <w:trHeight w:val="420" w:hRule="atLeast"/>
          <w:tblHeader/>
        </w:trPr>
        <w:tc>
          <w:tcPr>
            <w:tcW w:type="dxa" w:w="112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Line</w:t>
            </w:r>
          </w:p>
        </w:tc>
        <w:tc>
          <w:tcPr>
            <w:tcW w:type="dxa" w:w="414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Description</w:t>
            </w:r>
          </w:p>
        </w:tc>
        <w:tc>
          <w:tcPr>
            <w:tcW w:type="dxa" w:w="145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Quantity</w:t>
            </w:r>
          </w:p>
        </w:tc>
        <w:tc>
          <w:tcPr>
            <w:tcW w:type="dxa" w:w="157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Rate</w:t>
            </w:r>
          </w:p>
        </w:tc>
        <w:tc>
          <w:tcPr>
            <w:tcW w:type="dxa" w:w="17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</w:t>
            </w:r>
          </w:p>
        </w:tc>
      </w:tr>
      <w:tr>
        <w:trPr>
          <w:cantSplit/>
          <w:trHeight w:val="397" w:hRule="atLeast"/>
        </w:trPr>
        <w:tc>
          <w:tcPr>
            <w:tcW w:type="dxa" w:w="11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1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145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{{qty}}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1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1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145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{{qty}}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1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1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145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{{qty}}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1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1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145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{{qty}}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1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1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145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{{qty}}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1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1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145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{{qty}}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1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1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145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{{qty}}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1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1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145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{{qty}}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Development Feasibility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Feasibility Report</dc:title>
  <dc:subject>Residual land value and profitability modelling for a development: costs, revenue, funding, programme and sensitivity.</dc:subject>
  <dc:creator>Aurixa Systems</dc:creator>
  <cp:keywords>Development feasibility, Residual land value, Project appraisal,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