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40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64"/>
                <w:sz w:val="16"/>
                <w:u w:val="none"/>
              </w:rPr>
              <w:t>Usable equity &amp; deployment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6"/>
                <w:sz w:val="60"/>
                <w:u w:val="none"/>
              </w:rPr>
              <w:t>{{report.title}}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4 ASSETS</w:t>
                  </w:r>
                </w:p>
              </w:tc>
              <w:tc>
                <w:tcPr>
                  <w:tcW w:type="dxa" w:w="4309"/>
                  <w:tcBorders>
                    <w:top w:val="single" w:sz="4" w:space="0" w:color="1D6FE0"/>
                    <w:left w:val="single" w:sz="4" w:space="0" w:color="1D6FE0"/>
                    <w:bottom w:val="single" w:sz="4" w:space="0" w:color="1D6FE0"/>
                    <w:right w:val="single" w:sz="4" w:space="0" w:color="1D6FE0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28"/>
                      <w:sz w:val="14"/>
                      <w:u w:val="none"/>
                    </w:rPr>
                    <w:t>AT 80% AND 90% LVR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01   Available equity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The headline position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TOTAL EQUITY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USABLE AT 80%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USABLE AT 90%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4"/>
                <w:u w:val="none"/>
              </w:rPr>
              <w:t>COST TO ACCESS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{{equity.total}}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Value less debt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{{equity.usable80}}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No LMI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{{equity.usable90}}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LMI payable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{{equity.cost}}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80%, all fees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02   Summary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What the equity can fund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D6FE0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89" w:type="dxa"/>
              <w:left w:w="220" w:type="dxa"/>
              <w:bottom w:w="189" w:type="dxa"/>
              <w:right w:w="2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32"/>
                <w:sz w:val="15"/>
                <w:u w:val="none"/>
              </w:rPr>
              <w:t>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03   Equity by asset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Where it sits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Equity position by asset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Equity position by asset"/>
        <w:tblDescription w:val="Columns: Asset, Value, Debt, Equity, LVR, Usable at 80%, Usable at 90%"/>
      </w:tblPr>
      <w:tblGrid>
        <w:gridCol w:w="1802"/>
        <w:gridCol w:w="1532"/>
        <w:gridCol w:w="1442"/>
        <w:gridCol w:w="1442"/>
        <w:gridCol w:w="991"/>
        <w:gridCol w:w="1442"/>
        <w:gridCol w:w="1442"/>
      </w:tblGrid>
      <w:tr>
        <w:trPr>
          <w:cantSplit/>
          <w:trHeight w:val="420" w:hRule="atLeast"/>
          <w:tblHeader/>
        </w:trPr>
        <w:tc>
          <w:tcPr>
            <w:tcW w:type="dxa" w:w="180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Asset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Value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Debt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Equity</w:t>
            </w:r>
          </w:p>
        </w:tc>
        <w:tc>
          <w:tcPr>
            <w:tcW w:type="dxa" w:w="99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LVR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Usable at 80%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Usable at 90%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{{equity}}</w:t>
            </w:r>
          </w:p>
        </w:tc>
        <w:tc>
          <w:tcPr>
            <w:tcW w:type="dxa" w:w="9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{{usable80}}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{{usable90}}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{{equity}}</w:t>
            </w:r>
          </w:p>
        </w:tc>
        <w:tc>
          <w:tcPr>
            <w:tcW w:type="dxa" w:w="9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{{usable80}}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{{usable90}}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{{equity}}</w:t>
            </w:r>
          </w:p>
        </w:tc>
        <w:tc>
          <w:tcPr>
            <w:tcW w:type="dxa" w:w="9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{{usable80}}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{{usable90}}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{{address}}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{{value}}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{{debt}}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{{equity}}</w:t>
            </w:r>
          </w:p>
        </w:tc>
        <w:tc>
          <w:tcPr>
            <w:tcW w:type="dxa" w:w="9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{{lvr}}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{{usable80}}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{{usable90}}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Portfolio</w:t>
            </w:r>
          </w:p>
        </w:tc>
        <w:tc>
          <w:tcPr>
            <w:tcW w:type="dxa" w:w="153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$4,912,000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$2,847,000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$2,065,000</w:t>
            </w:r>
          </w:p>
        </w:tc>
        <w:tc>
          <w:tcPr>
            <w:tcW w:type="dxa" w:w="99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58.0%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$1,373,400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$1,753,200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Usable equity is the amount that can be drawn without exceeding the stated LVR on that security. Portfolio totals exclude the negative position on 21 Test Road; the practical figure at 80% is $1,082,600 after allowing for single-lender exposure limits.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04   Release options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Four ways to structure it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Release options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elease options"/>
        <w:tblDescription w:val="Compares: 3 standalone, Single top-up, Cross-collateralised, New lender"/>
      </w:tblPr>
      <w:tblGrid>
        <w:gridCol w:w="2624"/>
        <w:gridCol w:w="1867"/>
        <w:gridCol w:w="1867"/>
        <w:gridCol w:w="1867"/>
        <w:gridCol w:w="1867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D6FE0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3 standalone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Single top-up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single" w:sz="16" w:space="0" w:color="FFFFFF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Cross-collateralised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New lender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Structure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One facility per security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Increase one existing loan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One facility over three securities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Refinance all to one lender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Amount released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$1,082,600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$615,200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$1,373,400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$1,082,600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Cost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$4,980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$1,660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$3,320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$8,940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Cross-collateralisation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None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None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 — all three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None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Time to access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4–6 weeks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2–3 weeks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4–6 weeks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6–8 weeks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Sell an asset later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Simple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Simple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Requires full revaluation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Simple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Recommended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2F7FE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Yes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If speed matters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</w:t>
            </w:r>
          </w:p>
        </w:tc>
        <w:tc>
          <w:tcPr>
            <w:tcW w:type="dxa" w:w="186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No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05   Cost of access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Every fee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Cost to access at 80% LVR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st to access at 80% LVR"/>
        <w:tblDescription w:val="Columns: Cost, Per facility, Facilities, Total, Note"/>
      </w:tblPr>
      <w:tblGrid>
        <w:gridCol w:w="2948"/>
        <w:gridCol w:w="1587"/>
        <w:gridCol w:w="1247"/>
        <w:gridCol w:w="1587"/>
        <w:gridCol w:w="2721"/>
      </w:tblGrid>
      <w:tr>
        <w:trPr>
          <w:cantSplit/>
          <w:trHeight w:val="420" w:hRule="atLeast"/>
          <w:tblHeader/>
        </w:trPr>
        <w:tc>
          <w:tcPr>
            <w:tcW w:type="dxa" w:w="294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Cost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Per facility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Facilities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Total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Note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{{per}}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{{total}}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{{per}}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{{total}}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{{per}}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{{total}}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{{per}}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{{total}}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{{cost}}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{{per}}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{{count}}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{{total}}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cost of access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24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$4,980</w:t>
            </w:r>
          </w:p>
        </w:tc>
        <w:tc>
          <w:tcPr>
            <w:tcW w:type="dxa" w:w="272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At 90% LVR add approximately $18,400 of lenders mortgage insurance. LMI is not refundable and is not tax deductible in the year paid; it is amortised over five years or the loan term, whichever is shorter.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06   Deployment plan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What the funds are for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680"/>
        <w:gridCol w:w="2268"/>
        <w:gridCol w:w="7143"/>
      </w:tblGrid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1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2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3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4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7F9FC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  <w:tr>
        <w:trPr>
          <w:cantSplit/>
          <w:trHeight w:val="488" w:hRule="atLeast"/>
        </w:trPr>
        <w:tc>
          <w:tcPr>
            <w:tcW w:type="dxa" w:w="680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0C2340"/>
            <w:tcMar>
              <w:top w:w="80" w:type="dxa"/>
              <w:left w:w="40" w:type="dxa"/>
              <w:bottom w:w="80" w:type="dxa"/>
              <w:right w:w="4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21"/>
                <w:u w:val="none"/>
              </w:rPr>
              <w:t>5</w:t>
            </w:r>
          </w:p>
        </w:tc>
        <w:tc>
          <w:tcPr>
            <w:tcW w:type="dxa" w:w="226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0C2340"/>
                <w:spacing w:val="22"/>
                <w:sz w:val="16"/>
                <w:u w:val="none"/>
              </w:rPr>
              <w:t>{{step.name}}</w:t>
            </w:r>
          </w:p>
        </w:tc>
        <w:tc>
          <w:tcPr>
            <w:tcW w:type="dxa" w:w="7143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{{step.detail}}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B4CDF3"/>
              <w:left w:val="single" w:sz="18" w:space="0" w:color="1554AE"/>
              <w:bottom w:val="single" w:sz="4" w:space="0" w:color="B4CDF3"/>
              <w:right w:val="single" w:sz="4" w:space="0" w:color="B4CDF3"/>
            </w:tcBorders>
            <w:shd w:val="clear" w:color="auto" w:fill="EAF1FC"/>
            <w:tcMar>
              <w:top w:w="189" w:type="dxa"/>
              <w:left w:w="220" w:type="dxa"/>
              <w:bottom w:w="189" w:type="dxa"/>
              <w:right w:w="2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554AE"/>
                <w:spacing w:val="32"/>
                <w:sz w:val="15"/>
                <w:u w:val="none"/>
              </w:rPr>
              <w:t>Interest cost while undeployed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6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Released funds held in an offset account against their own facility cost nothing until drawn. That is why we recommend releasing before you find a property rather than after — it removes finance from the critical path without carrying an interest cost.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07   Risks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What to watch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32"/>
          <w:sz w:val="15"/>
          <w:u w:val="none"/>
        </w:rPr>
        <w:t>Risks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Risk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1554AE"/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105" w:type="dxa"/>
              <w:left w:w="147" w:type="dxa"/>
              <w:bottom w:w="105" w:type="dxa"/>
              <w:right w:w="147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08   Next steps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To release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32"/>
          <w:sz w:val="15"/>
          <w:u w:val="none"/>
        </w:rPr>
        <w:t>Before we lodge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{{nextSteps[0]}}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{{nextSteps[1]}}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{{nextSteps[2]}}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{{nextSteps[3]}}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105" w:type="dxa"/>
              <w:left w:w="147" w:type="dxa"/>
              <w:bottom w:w="105" w:type="dxa"/>
              <w:right w:w="147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ind w:left="240" w:hanging="240"/>
            </w:pPr>
            <w:r>
              <w:rPr>
                <w:rFonts w:ascii="Calibri" w:hAnsi="Calibri" w:cs="Calibri" w:eastAsia="Calibri"/>
                <w:b w:val="0"/>
                <w:i w:val="0"/>
                <w:color w:val="1D6FE0"/>
                <w:sz w:val="19"/>
                <w:u w:val="none"/>
              </w:rPr>
              <w:t xml:space="preserve">☐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{{nextSteps[4]}}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shd w:val="clear" w:color="auto" w:fill="1D6FE0"/>
            <w:tcMar>
              <w:top w:w="60" w:type="dxa"/>
              <w:left w:w="150" w:type="dxa"/>
              <w:bottom w:w="6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0"/>
                <w:sz w:val="16"/>
                <w:u w:val="none"/>
              </w:rPr>
              <w:t>Important information</w:t>
            </w:r>
          </w:p>
        </w:tc>
      </w:tr>
      <w:tr>
        <w:trPr>
          <w:cantSplit/>
        </w:trPr>
        <w:tc>
          <w:tcPr>
            <w:tcW w:type="dxa" w:w="1009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110" w:type="dxa"/>
              <w:left w:w="150" w:type="dxa"/>
              <w:bottom w:w="110" w:type="dxa"/>
              <w:right w:w="15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5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26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32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nil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2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4" w:space="0" w:color="DCE3ED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32"/>
              <w:sz w:val="14"/>
              <w:u w:val="none"/>
            </w:rPr>
            <w:t>Equity Release Strategy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26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Equity Release Strategy</dc:title>
  <dc:subject>How much usable equity exists, how it can be accessed, what it costs and what it can fund.</dc:subject>
  <dc:creator>Aurixa Systems</dc:creator>
  <cp:keywords>Equity release, Usable equity, Deployment plan,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