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037"/>
        <w:gridCol w:w="6055"/>
      </w:tblGrid>
      <w:tr>
        <w:trPr>
          <w:cantSplit/>
          <w:trHeight w:val="8504" w:hRule="atLeast"/>
        </w:trPr>
        <w:tc>
          <w:tcPr>
            <w:tcW w:type="dxa" w:w="4037"/>
            <w:shd w:val="clear" w:color="auto" w:fill="0C2340"/>
            <w:tcMar>
              <w:top w:w="340" w:type="dxa"/>
              <w:left w:w="240" w:type="dxa"/>
              <w:bottom w:w="340" w:type="dxa"/>
              <w:right w:w="240" w:type="dxa"/>
            </w:tcMar>
            <w:vAlign w:val="top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676"/>
            </w:tblGrid>
            <w:tr>
              <w:trPr>
                <w:cantSplit/>
              </w:trPr>
              <w:tc>
                <w:tcPr>
                  <w:tcW w:type="dxa" w:w="2676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44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8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40"/>
                <w:sz w:val="15"/>
                <w:u w:val="none"/>
              </w:rPr>
              <w:t>Aurixa Systems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3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4"/>
                <w:u w:val="none"/>
              </w:rPr>
              <w:t>INTELLIGENT PROPERTY &amp; FINANCE INFRASTRUCTURE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4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12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8"/>
                <w:sz w:val="14"/>
                <w:u w:val="none"/>
              </w:rPr>
              <w:t>PREPARED FOR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17"/>
                <w:u w:val="none"/>
              </w:rPr>
              <w:t>{{client.name}}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8"/>
                <w:sz w:val="14"/>
                <w:u w:val="none"/>
              </w:rPr>
              <w:t>PREPARED BY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17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8"/>
                <w:sz w:val="14"/>
                <w:u w:val="none"/>
              </w:rPr>
              <w:t>ISSUED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17"/>
                <w:u w:val="none"/>
              </w:rPr>
              <w:t>{{document.issueDate}}</w:t>
            </w:r>
          </w:p>
        </w:tc>
        <w:tc>
          <w:tcPr>
            <w:tcW w:type="dxa" w:w="6055"/>
            <w:shd w:val="clear" w:color="auto" w:fill="FFFFFF"/>
            <w:tcMar>
              <w:top w:w="340" w:type="dxa"/>
              <w:left w:w="260" w:type="dxa"/>
              <w:bottom w:w="34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0"/>
                <w:sz w:val="16"/>
                <w:u w:val="none"/>
              </w:rPr>
              <w:t>Annual portfolio review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40" w:lineRule="auto"/>
            </w:pPr>
            <w:r>
              <w:rPr>
                <w:rFonts w:ascii="Georgia" w:hAnsi="Georgia" w:cs="Georgia" w:eastAsia="Georgia"/>
                <w:b/>
                <w:i w:val="0"/>
                <w:color w:val="0C2340"/>
                <w:spacing w:val="2"/>
                <w:sz w:val="60"/>
                <w:u w:val="none"/>
              </w:rPr>
              <w:t>{{report.title}}</w:t>
            </w:r>
          </w:p>
          <w:p>
            <w:pPr>
              <w:keepNext w:val="0"/>
              <w:keepLines/>
              <w:pageBreakBefore w:val="0"/>
              <w:widowControl w:val="1"/>
              <w:pBdr>
                <w:bottom w:val="single" w:sz="12" w:space="1" w:color="1D6FE0"/>
              </w:pBdr>
              <w:spacing w:before="0" w:after="160" w:line="2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3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517"/>
              <w:gridCol w:w="2517"/>
            </w:tblGrid>
            <w:tr>
              <w:trPr>
                <w:cantSplit/>
              </w:trPr>
              <w:tc>
                <w:tcPr>
                  <w:tcW w:type="dxa" w:w="2517"/>
                  <w:tcBorders>
                    <w:top w:val="single" w:sz="4" w:space="0" w:color="C2CDDC"/>
                    <w:left w:val="single" w:sz="4" w:space="0" w:color="C2CDDC"/>
                    <w:bottom w:val="single" w:sz="4" w:space="0" w:color="C2CDDC"/>
                    <w:right w:val="single" w:sz="4" w:space="0" w:color="C2CDDC"/>
                  </w:tcBorders>
                  <w:shd w:val="clear" w:color="auto" w:fill="DCE8FB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0C2340"/>
                      <w:spacing w:val="28"/>
                      <w:sz w:val="14"/>
                      <w:u w:val="none"/>
                    </w:rPr>
                    <w:t>4 ASSETS</w:t>
                  </w:r>
                </w:p>
              </w:tc>
              <w:tc>
                <w:tcPr>
                  <w:tcW w:type="dxa" w:w="2517"/>
                  <w:tcBorders>
                    <w:top w:val="single" w:sz="4" w:space="0" w:color="C2CDDC"/>
                    <w:left w:val="single" w:sz="4" w:space="0" w:color="C2CDDC"/>
                    <w:bottom w:val="single" w:sz="4" w:space="0" w:color="C2CDDC"/>
                    <w:right w:val="single" w:sz="4" w:space="0" w:color="C2CDDC"/>
                  </w:tcBorders>
                  <w:shd w:val="clear" w:color="auto" w:fill="DCE8FB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0C2340"/>
                      <w:spacing w:val="28"/>
                      <w:sz w:val="14"/>
                      <w:u w:val="none"/>
                    </w:rPr>
                    <w:t>FY2026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Contents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Portfolio position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Executive summary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Performance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Asset register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Debt profile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Cash-flow position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Opportunities &amp; risks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08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Recommended actions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01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Portfolio position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Where you stand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4"/>
                <w:u w:val="none"/>
              </w:rPr>
              <w:t>TOTAL VALUE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4"/>
                <w:u w:val="none"/>
              </w:rPr>
              <w:t>TOTAL DEBT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4"/>
                <w:u w:val="none"/>
              </w:rPr>
              <w:t>NET EQUITY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4"/>
                <w:u w:val="none"/>
              </w:rPr>
              <w:t>PORTFOLIO YIELD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{{portfolio.value}}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4 assets, Jun 2026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{{portfolio.debt}}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Across 5 facilities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{{portfolio.equity}}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42.0% of value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{{portfolio.yield}}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Gross, weighted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02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Executive summary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The year in review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212" w:type="dxa"/>
              <w:left w:w="247" w:type="dxa"/>
              <w:bottom w:w="212" w:type="dxa"/>
              <w:right w:w="24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Georgia" w:hAnsi="Georgia" w:cs="Georgia" w:eastAsia="Georgia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41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6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41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41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41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03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Performance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Value and equity over the period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061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0C2340"/>
                <w:sz w:val="18"/>
                <w:u w:val="none"/>
              </w:rPr>
              <w:t>Portfolio value and equity, five years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STACKED AREA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{{portfolio.history}}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Value, debt and net equity   ·   Source: Aurixa portfolio model   ·   Alt text: Portfolio value rose from $3.68m to $4.91m over five years while debt stayed broadly flat, so equity more than doubled</w:t>
      </w:r>
    </w:p>
    <w:p>
      <w:pPr>
        <w:keepNext w:val="0"/>
        <w:keepLines/>
        <w:pageBreakBefore w:val="0"/>
        <w:widowControl w:val="1"/>
        <w:spacing w:before="0" w:after="0" w:line="144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12-month value movement by asset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26"/>
        <w:gridCol w:w="5651"/>
        <w:gridCol w:w="1615"/>
      </w:tblGrid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{{asset.short}}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0C234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{{asset.movement}}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{{asset.short}}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{{asset.movement}}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{{asset.short}}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12B0CE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{{asset.movement}}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{{asset.short}}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5B96EB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{{asset.movement}}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21 Test Road has now underperformed the portfolio average in each of the last two years.</w:t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04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Asset register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Every asset, every measure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Asset register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Asset register"/>
        <w:tblDescription w:val="Columns: Asset, Acquired, Cost, Value, Debt, LVR, Rent p.a., Net p.a."/>
      </w:tblPr>
      <w:tblGrid>
        <w:gridCol w:w="1695"/>
        <w:gridCol w:w="1130"/>
        <w:gridCol w:w="1292"/>
        <w:gridCol w:w="1372"/>
        <w:gridCol w:w="1292"/>
        <w:gridCol w:w="888"/>
        <w:gridCol w:w="1211"/>
        <w:gridCol w:w="1211"/>
      </w:tblGrid>
      <w:tr>
        <w:trPr>
          <w:cantSplit/>
          <w:trHeight w:val="420" w:hRule="atLeast"/>
          <w:tblHeader/>
        </w:trPr>
        <w:tc>
          <w:tcPr>
            <w:tcW w:type="dxa" w:w="16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Asset</w:t>
            </w:r>
          </w:p>
        </w:tc>
        <w:tc>
          <w:tcPr>
            <w:tcW w:type="dxa" w:w="113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Acquired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Cost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Value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Debt</w:t>
            </w:r>
          </w:p>
        </w:tc>
        <w:tc>
          <w:tcPr>
            <w:tcW w:type="dxa" w:w="88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LVR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Rent p.a.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Net p.a.</w:t>
            </w:r>
          </w:p>
        </w:tc>
      </w:tr>
      <w:tr>
        <w:trPr>
          <w:cantSplit/>
          <w:trHeight w:val="397" w:hRule="atLeast"/>
        </w:trPr>
        <w:tc>
          <w:tcPr>
            <w:tcW w:type="dxa" w:w="16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13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{{acquired}}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{{debt}}</w:t>
            </w:r>
          </w:p>
        </w:tc>
        <w:tc>
          <w:tcPr>
            <w:tcW w:type="dxa" w:w="8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{{lvr}}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16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13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{{acquired}}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{{debt}}</w:t>
            </w:r>
          </w:p>
        </w:tc>
        <w:tc>
          <w:tcPr>
            <w:tcW w:type="dxa" w:w="8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{{lvr}}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16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13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{{acquired}}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{{debt}}</w:t>
            </w:r>
          </w:p>
        </w:tc>
        <w:tc>
          <w:tcPr>
            <w:tcW w:type="dxa" w:w="8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{{lvr}}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16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13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{{acquired}}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{{debt}}</w:t>
            </w:r>
          </w:p>
        </w:tc>
        <w:tc>
          <w:tcPr>
            <w:tcW w:type="dxa" w:w="8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{{lvr}}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16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Portfolio</w:t>
            </w:r>
          </w:p>
        </w:tc>
        <w:tc>
          <w:tcPr>
            <w:tcW w:type="dxa" w:w="113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29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$3,727,000</w:t>
            </w:r>
          </w:p>
        </w:tc>
        <w:tc>
          <w:tcPr>
            <w:tcW w:type="dxa" w:w="137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$4,912,000</w:t>
            </w:r>
          </w:p>
        </w:tc>
        <w:tc>
          <w:tcPr>
            <w:tcW w:type="dxa" w:w="129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$2,847,000</w:t>
            </w:r>
          </w:p>
        </w:tc>
        <w:tc>
          <w:tcPr>
            <w:tcW w:type="dxa" w:w="88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58.0%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$161,200</w:t>
            </w:r>
          </w:p>
        </w:tc>
        <w:tc>
          <w:tcPr>
            <w:tcW w:type="dxa" w:w="121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-$22,050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21 Test Road's LVR exceeds 100% because the facility was drawn to fund acquisition costs and the asset has appreciated only 1.6% since purchase.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05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Debt profile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Facilities, rates and expiries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Debt profile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ebt profile"/>
        <w:tblDescription w:val="Columns: Facility, Security, Limit, Balance, Rate, Type, Expiry"/>
      </w:tblPr>
      <w:tblGrid>
        <w:gridCol w:w="989"/>
        <w:gridCol w:w="2177"/>
        <w:gridCol w:w="1484"/>
        <w:gridCol w:w="1484"/>
        <w:gridCol w:w="1088"/>
        <w:gridCol w:w="1583"/>
        <w:gridCol w:w="1286"/>
      </w:tblGrid>
      <w:tr>
        <w:trPr>
          <w:cantSplit/>
          <w:trHeight w:val="420" w:hRule="atLeast"/>
          <w:tblHeader/>
        </w:trPr>
        <w:tc>
          <w:tcPr>
            <w:tcW w:type="dxa" w:w="98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Facility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Security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Limit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Balance</w:t>
            </w:r>
          </w:p>
        </w:tc>
        <w:tc>
          <w:tcPr>
            <w:tcW w:type="dxa" w:w="108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Rate</w:t>
            </w:r>
          </w:p>
        </w:tc>
        <w:tc>
          <w:tcPr>
            <w:tcW w:type="dxa" w:w="158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Type</w:t>
            </w:r>
          </w:p>
        </w:tc>
        <w:tc>
          <w:tcPr>
            <w:tcW w:type="dxa" w:w="128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Expiry</w:t>
            </w:r>
          </w:p>
        </w:tc>
      </w:tr>
      <w:tr>
        <w:trPr>
          <w:cantSplit/>
          <w:trHeight w:val="397" w:hRule="atLeast"/>
        </w:trPr>
        <w:tc>
          <w:tcPr>
            <w:tcW w:type="dxa" w:w="9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{{balance}}</w:t>
            </w:r>
          </w:p>
        </w:tc>
        <w:tc>
          <w:tcPr>
            <w:tcW w:type="dxa" w:w="10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8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28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</w:tr>
      <w:tr>
        <w:trPr>
          <w:cantSplit/>
          <w:trHeight w:val="397" w:hRule="atLeast"/>
        </w:trPr>
        <w:tc>
          <w:tcPr>
            <w:tcW w:type="dxa" w:w="9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{{balance}}</w:t>
            </w:r>
          </w:p>
        </w:tc>
        <w:tc>
          <w:tcPr>
            <w:tcW w:type="dxa" w:w="10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8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28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</w:tr>
      <w:tr>
        <w:trPr>
          <w:cantSplit/>
          <w:trHeight w:val="397" w:hRule="atLeast"/>
        </w:trPr>
        <w:tc>
          <w:tcPr>
            <w:tcW w:type="dxa" w:w="9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{{balance}}</w:t>
            </w:r>
          </w:p>
        </w:tc>
        <w:tc>
          <w:tcPr>
            <w:tcW w:type="dxa" w:w="10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8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28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</w:tr>
      <w:tr>
        <w:trPr>
          <w:cantSplit/>
          <w:trHeight w:val="397" w:hRule="atLeast"/>
        </w:trPr>
        <w:tc>
          <w:tcPr>
            <w:tcW w:type="dxa" w:w="9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{{balance}}</w:t>
            </w:r>
          </w:p>
        </w:tc>
        <w:tc>
          <w:tcPr>
            <w:tcW w:type="dxa" w:w="10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8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28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</w:tr>
      <w:tr>
        <w:trPr>
          <w:cantSplit/>
          <w:trHeight w:val="397" w:hRule="atLeast"/>
        </w:trPr>
        <w:tc>
          <w:tcPr>
            <w:tcW w:type="dxa" w:w="9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{{balance}}</w:t>
            </w:r>
          </w:p>
        </w:tc>
        <w:tc>
          <w:tcPr>
            <w:tcW w:type="dxa" w:w="108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8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28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</w:tr>
      <w:tr>
        <w:trPr>
          <w:cantSplit/>
          <w:trHeight w:val="397" w:hRule="atLeast"/>
        </w:trPr>
        <w:tc>
          <w:tcPr>
            <w:tcW w:type="dxa" w:w="98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217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Portfolio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$2,875,000</w:t>
            </w:r>
          </w:p>
        </w:tc>
        <w:tc>
          <w:tcPr>
            <w:tcW w:type="dxa" w:w="148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$2,847,000</w:t>
            </w:r>
          </w:p>
        </w:tc>
        <w:tc>
          <w:tcPr>
            <w:tcW w:type="dxa" w:w="108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6.28%</w:t>
            </w:r>
          </w:p>
        </w:tc>
        <w:tc>
          <w:tcPr>
            <w:tcW w:type="dxa" w:w="158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28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F4 reverts from interest only to principal and interest in March 2027, which will increase repayments by approximately $1,840 per month.</w:t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06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Cash-flow position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Consolidated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Consolidated cash flow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onsolidated cash flow"/>
        <w:tblDescription w:val="Columns: Item, FY2025, FY2026, Movement"/>
      </w:tblPr>
      <w:tblGrid>
        <w:gridCol w:w="4037"/>
        <w:gridCol w:w="2018"/>
        <w:gridCol w:w="2018"/>
        <w:gridCol w:w="2018"/>
      </w:tblGrid>
      <w:tr>
        <w:trPr>
          <w:cantSplit/>
          <w:trHeight w:val="420" w:hRule="atLeast"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FY2025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FY2026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Movement</w:t>
            </w:r>
          </w:p>
        </w:tc>
      </w:tr>
      <w:tr>
        <w:trPr>
          <w:cantSplit/>
          <w:trHeight w:val="397" w:hRule="atLeast"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After-tax position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-$3,650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-$22,050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-$18,400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07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Opportunities &amp; risks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What to act on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6"/>
          <w:sz w:val="15"/>
          <w:u w:val="none"/>
        </w:rPr>
        <w:t>Opportunities &amp; risks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Opportunities &amp; risk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08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Recommended actions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For the coming year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Actions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, Item, Owner, Due, Status"/>
      </w:tblPr>
      <w:tblGrid>
        <w:gridCol w:w="444"/>
        <w:gridCol w:w="5101"/>
        <w:gridCol w:w="1774"/>
        <w:gridCol w:w="1331"/>
        <w:gridCol w:w="1442"/>
      </w:tblGrid>
      <w:tr>
        <w:trPr>
          <w:cantSplit/>
          <w:trHeight w:val="420" w:hRule="atLeast"/>
          <w:tblHeader/>
        </w:trPr>
        <w:tc>
          <w:tcPr>
            <w:tcW w:type="dxa" w:w="44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</w:p>
        </w:tc>
        <w:tc>
          <w:tcPr>
            <w:tcW w:type="dxa" w:w="510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Owner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Due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{{portfolio.actions[0]}}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{{portfolio.actions[1]}}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{{portfolio.actions[2]}}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{{portfolio.actions[3]}}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{{portfolio.actions[4]}}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single" w:sz="12" w:space="0" w:color="1D6FE0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170" w:type="dxa"/>
              <w:left w:w="190" w:type="dxa"/>
              <w:bottom w:w="200" w:type="dxa"/>
              <w:right w:w="19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36"/>
                <w:sz w:val="16"/>
                <w:u w:val="none"/>
              </w:rPr>
              <w:t>Reviewed with the client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Name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Signature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Date 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____ / ____ / ______</w:t>
            </w:r>
          </w:p>
        </w:tc>
        <w:tc>
          <w:tcPr>
            <w:tcW w:type="dxa" w:w="5046"/>
            <w:tcBorders>
              <w:top w:val="single" w:sz="12" w:space="0" w:color="1D6FE0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170" w:type="dxa"/>
              <w:left w:w="190" w:type="dxa"/>
              <w:bottom w:w="200" w:type="dxa"/>
              <w:right w:w="19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36"/>
                <w:sz w:val="16"/>
                <w:u w:val="none"/>
              </w:rPr>
              <w:t>For the organisation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Name   </w:t>
            </w: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Signature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Date 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____ / ____ / ______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41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41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41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6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6"/>
              <w:sz w:val="14"/>
              <w:u w:val="none"/>
            </w:rPr>
            <w:t>Portfolio Review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41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Portfolio Review Report</dc:title>
  <dc:subject>Periodic review of a client's whole property portfolio: performance, equity, debt, cash flow and recommended actions per asset.</dc:subject>
  <dc:creator>Aurixa Systems</dc:creator>
  <cp:keywords>Portfolio review, Annual review, Asset review,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