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150" w:type="dxa"/>
              <w:left w:w="200" w:type="dxa"/>
              <w:bottom w:w="11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{{property.images.0.caption}}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6690" w:hRule="atLeast"/>
        </w:trPr>
        <w:tc>
          <w:tcPr>
            <w:tcW w:type="dxa" w:w="10091"/>
            <w:tcBorders>
              <w:top w:val="single" w:sz="10" w:space="0" w:color="12B0CE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36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0"/>
                <w:sz w:val="16"/>
                <w:u w:val="none"/>
              </w:rPr>
              <w:t>Property investment analysis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{{property.address}}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RESEARCHED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MODELLED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RECOMMENDED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Contents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Investment metrics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Property overview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Location &amp; amenity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Financial analysis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Cash-flow projection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Comparable sales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08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 &amp; mitigations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09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Recommendation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case in brief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{{report.executiveSummary}}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Investment metrics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Headline position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PURCHASE PRICE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GROSS YIELD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WEEKLY RENT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CASH REQUIRED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{{financials.price}}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Recommended maximum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{{financials.grossYield}}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On appraised rent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{{financials.weeklyRent}}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Appraised range $750–780</w:t>
            </w:r>
          </w:p>
        </w:tc>
        <w:tc>
          <w:tcPr>
            <w:tcW w:type="dxa" w:w="2523"/>
            <w:tcBorders>
              <w:bottom w:val="single" w:sz="8" w:space="0" w:color="12B0CE"/>
              <w:right w:val="nil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{{financials.cashRequired}}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Incl. costs, 20% deposit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Property overview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asset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Property particulars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3"/>
              <w:gridCol w:w="2884"/>
              <w:gridCol w:w="1923"/>
              <w:gridCol w:w="2884"/>
            </w:tblGrid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Address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{{property.address}}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Property type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{{property.type}}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Land area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{{property.landArea}}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Building area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{{property.buildingArea}}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Bedrooms / bathrooms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{{property.bedBath}}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Car spaces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{{property.carSpaces}}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Year built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{{property.yearBuilt}}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Zoning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{{property.zoning}}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Current tenancy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{{property.tenancy}}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Condition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{{property.condition}}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494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1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{{property.images.0.caption}}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2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{{property.images.1.caption}}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494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3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{{property.images.2.caption}}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4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{{property.images.3.caption}}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Location &amp; amenity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Why here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4309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SUBJECT AND AMENITY MAP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Alt text: Map showing the subject property, transport, schools and retail</w:t>
      </w:r>
    </w:p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 xml:space="preserve">●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Subject property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7"/>
                <w:u w:val="none"/>
              </w:rPr>
              <w:t xml:space="preserve">▲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Rail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■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Schools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5B96EB"/>
                <w:sz w:val="17"/>
                <w:u w:val="none"/>
              </w:rPr>
              <w:t xml:space="preserve">◆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Retail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{{property.locationNarrative}}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Financial analysis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Acquisition and holding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Acquisition costs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cquisition costs"/>
        <w:tblDescription w:val="Columns: Item, Basis, Amount, Notes"/>
      </w:tblPr>
      <w:tblGrid>
        <w:gridCol w:w="2948"/>
        <w:gridCol w:w="2268"/>
        <w:gridCol w:w="1814"/>
        <w:gridCol w:w="3061"/>
      </w:tblGrid>
      <w:tr>
        <w:trPr>
          <w:cantSplit/>
          <w:trHeight w:val="420" w:hRule="atLeast"/>
          <w:tblHeader/>
        </w:trPr>
        <w:tc>
          <w:tcPr>
            <w:tcW w:type="dxa" w:w="294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Notes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acquisition cost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81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{{financials.totalCost}}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Stamp duty is an estimate only and must be confirmed with the client's conveyancer. Figures exclude GST unless stated.</w:t>
      </w:r>
    </w:p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First-year holding position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irst-year holding position"/>
        <w:tblDescription w:val="Columns: Item, Annual, Weekly, Basis"/>
      </w:tblPr>
      <w:tblGrid>
        <w:gridCol w:w="3288"/>
        <w:gridCol w:w="1928"/>
        <w:gridCol w:w="1701"/>
        <w:gridCol w:w="3175"/>
      </w:tblGrid>
      <w:tr>
        <w:trPr>
          <w:cantSplit/>
          <w:trHeight w:val="420" w:hRule="atLeast"/>
          <w:tblHeader/>
        </w:trPr>
        <w:tc>
          <w:tcPr>
            <w:tcW w:type="dxa" w:w="328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Annual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Weekly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Pre-tax position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{{financials.preTax}}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{{financials.preTaxWeekly}}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06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Cash-flow projection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Ten-year view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515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Cumulative after-tax position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36"/>
                <w:sz w:val="15"/>
                <w:u w:val="none"/>
              </w:rPr>
              <w:t>[  LINE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{{cashflow.series}}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Ten years, nominal   ·   Source: {{cashflow.source}}   ·   Alt text: Cumulative after-tax net position turns positive in year six</w:t>
      </w:r>
    </w:p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Projection assumptions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3"/>
              <w:gridCol w:w="2884"/>
              <w:gridCol w:w="1923"/>
              <w:gridCol w:w="2884"/>
            </w:tblGrid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Capital growth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{{assumptions.growth}}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Rental growth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{{assumptions.rentGrowth}}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Interest rate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{{assumptions.rate}}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Vacancy allowance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{{assumptions.vacancy}}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Marginal tax rate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{{assumptions.taxRate}}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Depreciation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{{assumptions.depreciation}}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07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Comparable sales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Evidence for the price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Recent comparable sales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cent comparable sales"/>
        <w:tblDescription w:val="Columns: Address, Sold, Price, Land, Beds, Adjustment"/>
      </w:tblPr>
      <w:tblGrid>
        <w:gridCol w:w="2752"/>
        <w:gridCol w:w="1325"/>
        <w:gridCol w:w="1529"/>
        <w:gridCol w:w="1223"/>
        <w:gridCol w:w="917"/>
        <w:gridCol w:w="2344"/>
      </w:tblGrid>
      <w:tr>
        <w:trPr>
          <w:cantSplit/>
          <w:trHeight w:val="420" w:hRule="atLeast"/>
          <w:tblHeader/>
        </w:trPr>
        <w:tc>
          <w:tcPr>
            <w:tcW w:type="dxa" w:w="275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Address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Sold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Price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Land</w:t>
            </w:r>
          </w:p>
        </w:tc>
        <w:tc>
          <w:tcPr>
            <w:tcW w:type="dxa" w:w="917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Beds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Adjustment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Adjustments are the analyst's assessment relative to the subject property.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08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Risks &amp; mitigations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What could go wrong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28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09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Recommendation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decision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2B0CE"/>
              <w:left w:val="single" w:sz="26" w:space="0" w:color="12B0CE"/>
              <w:bottom w:val="single" w:sz="6" w:space="0" w:color="12B0CE"/>
              <w:right w:val="single" w:sz="6" w:space="0" w:color="12B0CE"/>
            </w:tcBorders>
            <w:shd w:val="clear" w:color="auto" w:fill="EEFA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400" w:type="dxa"/>
              <w:left w:w="90" w:type="dxa"/>
              <w:bottom w:w="400" w:type="dxa"/>
              <w:right w:w="9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4"/>
                <w:sz w:val="14"/>
                <w:u w:val="none"/>
              </w:rPr>
              <w:t>PHOTO</w:t>
            </w:r>
          </w:p>
        </w:tc>
        <w:tc>
          <w:tcPr>
            <w:tcW w:type="dxa" w:w="8391"/>
            <w:tcBorders>
              <w:top w:val="single" w:sz="4" w:space="0" w:color="DCE3ED"/>
              <w:left w:val="nil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Your adviser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1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{{author.title}}   ›   {{author.credentials}}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{{author.bio}}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{{author.credentialList[2]}}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{{author.email}}   ·   {{author.phone}}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12B0CE"/>
          <w:spacing w:val="52"/>
          <w:sz w:val="15"/>
          <w:u w:val="none"/>
        </w:rPr>
        <w:t>APPENDIX A</w:t>
      </w:r>
    </w:p>
    <w:p>
      <w:pPr>
        <w:keepNext/>
        <w:keepLines/>
        <w:pageBreakBefore w:val="0"/>
        <w:widowControl w:val="1"/>
        <w:spacing w:before="0" w:after="120"/>
      </w:pPr>
      <w:r>
        <w:rPr>
          <w:rFonts w:ascii="Calibri" w:hAnsi="Calibri" w:cs="Calibri" w:eastAsia="Calibri"/>
          <w:b/>
          <w:i w:val="0"/>
          <w:color w:val="0C2340"/>
          <w:sz w:val="34"/>
          <w:u w:val="none"/>
        </w:rPr>
        <w:t>Data sources &amp; provenance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12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9"/>
          <w:u w:val="none"/>
        </w:rPr>
        <w:t>Every figure in this report and where it came from.</w:t>
      </w:r>
    </w:p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Data, Source, As at"/>
      </w:tblPr>
      <w:tblGrid>
        <w:gridCol w:w="3402"/>
        <w:gridCol w:w="4535"/>
        <w:gridCol w:w="2154"/>
      </w:tblGrid>
      <w:tr>
        <w:trPr>
          <w:cantSplit/>
          <w:trHeight w:val="420" w:hRule="atLeast"/>
          <w:tblHeader/>
        </w:trPr>
        <w:tc>
          <w:tcPr>
            <w:tcW w:type="dxa" w:w="340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Data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Source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 at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Important information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0C2340"/>
              <w:left w:val="single" w:sz="4" w:space="0" w:color="0C2340"/>
              <w:bottom w:val="single" w:sz="4" w:space="0" w:color="0C2340"/>
              <w:right w:val="single" w:sz="4" w:space="0" w:color="0C2340"/>
            </w:tcBorders>
            <w:shd w:val="clear" w:color="auto" w:fill="0C2340"/>
            <w:tcMar>
              <w:top w:w="320" w:type="dxa"/>
              <w:left w:w="260" w:type="dxa"/>
              <w:bottom w:w="320" w:type="dxa"/>
              <w:right w:w="260" w:type="dxa"/>
            </w:tcMar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061"/>
            </w:tblGrid>
            <w:tr>
              <w:trPr>
                <w:cantSplit/>
              </w:trPr>
              <w:tc>
                <w:tcPr>
                  <w:tcW w:type="dxa" w:w="3061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36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34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40"/>
                <w:sz w:val="15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WEB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{{org.website}}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EMAIL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{{org.email}}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PHONE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{{org.phone}}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ADDRESS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{{org.address}}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SOCIAL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{{org.socials}}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AFC0D6"/>
                <w:spacing w:val="32"/>
                <w:sz w:val="14"/>
                <w:u w:val="none"/>
              </w:rPr>
              <w:t>Aurixa Systems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  <w:jc w:val="center"/>
      </w:pPr>
      <w:r>
        <w:rPr>
          <w:rFonts w:ascii="Calibri" w:hAnsi="Calibri" w:cs="Calibri" w:eastAsia="Calibri"/>
          <w:b w:val="0"/>
          <w:i w:val="0"/>
          <w:color w:val="8493A8"/>
          <w:sz w:val="14"/>
          <w:u w:val="none"/>
        </w:rPr>
        <w:t>Aurixa Systems Pty Ltd   ·   ABN {{org.abn}}   ·   COMMERCIAL IN CONFIDENCE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Property Investment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Investment Report</dc:title>
  <dc:subject>Full investment case for a single property: the asset, the numbers, the risks and a clear buy / do-not-buy recommendation.</dc:subject>
  <dc:creator>Aurixa Systems</dc:creator>
  <cp:keywords>Property investment, Investment analysis, Acquisition case,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