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7824" w:hRule="atLeast"/>
        </w:trPr>
        <w:tc>
          <w:tcPr>
            <w:tcW w:type="dxa" w:w="10091"/>
            <w:tcBorders>
              <w:top w:val="single" w:sz="10" w:space="0" w:color="1D6FE0"/>
              <w:left w:val="nil"/>
              <w:bottom w:val="nil"/>
              <w:right w:val="nil"/>
            </w:tcBorders>
            <w:shd w:val="clear" w:color="auto" w:fill="0C2340"/>
            <w:tcMar>
              <w:top w:w="380" w:type="dxa"/>
              <w:left w:w="320" w:type="dxa"/>
              <w:bottom w:w="380" w:type="dxa"/>
              <w:right w:w="320" w:type="dxa"/>
            </w:tcMar>
            <w:vAlign w:val="center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515"/>
            </w:tblGrid>
            <w:tr>
              <w:trPr>
                <w:cantSplit/>
              </w:trPr>
              <w:tc>
                <w:tcPr>
                  <w:tcW w:type="dxa" w:w="3515"/>
                  <w:tcBorders>
                    <w:top w:val="dashed" w:sz="8" w:space="0" w:color="1D6FE0"/>
                    <w:left w:val="dashed" w:sz="8" w:space="0" w:color="1D6FE0"/>
                    <w:bottom w:val="dashed" w:sz="8" w:space="0" w:color="1D6FE0"/>
                    <w:right w:val="dashed" w:sz="8" w:space="0" w:color="1D6FE0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32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56"/>
                <w:sz w:val="16"/>
                <w:u w:val="none"/>
              </w:rPr>
              <w:t>Switching analysis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8"/>
                <w:sz w:val="19"/>
                <w:u w:val="none"/>
              </w:rPr>
              <w:t>Aurixa Systems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pacing w:val="-4"/>
                <w:sz w:val="60"/>
                <w:u w:val="none"/>
              </w:rPr>
              <w:t>{{report.title}}</w:t>
            </w:r>
          </w:p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</w:tblGrid>
            <w:tr>
              <w:trPr>
                <w:cantSplit/>
              </w:trPr>
              <w:tc>
                <w:tcPr>
                  <w:tcW w:type="dxa" w:w="1701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48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22"/>
                <w:u w:val="none"/>
              </w:rPr>
              <w:t>{{report.subtitle}}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8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09"/>
              <w:gridCol w:w="4309"/>
            </w:tblGrid>
            <w:tr>
              <w:trPr>
                <w:cantSplit/>
              </w:trPr>
              <w:tc>
                <w:tcPr>
                  <w:tcW w:type="dxa" w:w="4309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BREAK-EVEN</w:t>
                  </w:r>
                </w:p>
              </w:tc>
              <w:tc>
                <w:tcPr>
                  <w:tcW w:type="dxa" w:w="4309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AS AT 31/07/26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{{document.issueDate}}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{{document.reference}}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{{document.version}}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01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Verdict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The answer first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1D6FE0"/>
              <w:left w:val="single" w:sz="26" w:space="0" w:color="1D6FE0"/>
              <w:bottom w:val="single" w:sz="6" w:space="0" w:color="1D6FE0"/>
              <w:right w:val="single" w:sz="6" w:space="0" w:color="1D6FE0"/>
            </w:tcBorders>
            <w:shd w:val="clear" w:color="auto" w:fill="F2F7FE"/>
            <w:tcMar>
              <w:top w:w="158" w:type="dxa"/>
              <w:left w:w="184" w:type="dxa"/>
              <w:bottom w:w="158" w:type="dxa"/>
              <w:right w:w="184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5"/>
                <w:u w:val="none"/>
              </w:rPr>
              <w:t>VERDICT</w:t>
            </w: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4"/>
                <w:u w:val="none"/>
              </w:rPr>
              <w:t xml:space="preserve">     CONFIDENCE: {{REPORT.CONFIDENCE}}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2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2"/>
                <w:u w:val="none"/>
              </w:rPr>
              <w:t>{{report.verdict}}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0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{{report.verdictRationale}}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4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5"/>
                <w:u w:val="none"/>
              </w:rPr>
              <w:t>Next steps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0" w:after="0" w:line="30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1.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{{report.verdictActions[0]}}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0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2.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{{report.verdictActions[1]}}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0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3.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{{report.verdictActions[2]}}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02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Headline numbers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What changes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MONTHLY SAVING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ANNUAL SAVING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SWITCHING COST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BREAK-EVEN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{{refinance.monthly}}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First year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{{refinance.annual}}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At current balance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{{refinance.cost}}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All fees</w:t>
            </w:r>
          </w:p>
        </w:tc>
        <w:tc>
          <w:tcPr>
            <w:tcW w:type="dxa" w:w="2523"/>
            <w:tcBorders>
              <w:bottom w:val="single" w:sz="8" w:space="0" w:color="1D6FE0"/>
              <w:right w:val="nil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{{refinance.breakEven}}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Cost recovered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03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Current position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What you have now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Current facility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Current facility"/>
        <w:tblDescription w:val="Columns: Item, Detail"/>
      </w:tblPr>
      <w:tblGrid>
        <w:gridCol w:w="3969"/>
        <w:gridCol w:w="6123"/>
      </w:tblGrid>
      <w:tr>
        <w:trPr>
          <w:cantSplit/>
          <w:trHeight w:val="420" w:hRule="atLeast"/>
          <w:tblHeader/>
        </w:trPr>
        <w:tc>
          <w:tcPr>
            <w:tcW w:type="dxa" w:w="396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Item</w:t>
            </w:r>
          </w:p>
        </w:tc>
        <w:tc>
          <w:tcPr>
            <w:tcW w:type="dxa" w:w="612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Detail</w:t>
            </w:r>
          </w:p>
        </w:tc>
      </w:tr>
      <w:tr>
        <w:trPr>
          <w:cantSplit/>
          <w:trHeight w:val="397" w:hRule="atLeast"/>
        </w:trPr>
        <w:tc>
          <w:tcPr>
            <w:tcW w:type="dxa" w:w="396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6123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397" w:hRule="atLeast"/>
        </w:trPr>
        <w:tc>
          <w:tcPr>
            <w:tcW w:type="dxa" w:w="396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6123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397" w:hRule="atLeast"/>
        </w:trPr>
        <w:tc>
          <w:tcPr>
            <w:tcW w:type="dxa" w:w="396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6123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397" w:hRule="atLeast"/>
        </w:trPr>
        <w:tc>
          <w:tcPr>
            <w:tcW w:type="dxa" w:w="396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6123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397" w:hRule="atLeast"/>
        </w:trPr>
        <w:tc>
          <w:tcPr>
            <w:tcW w:type="dxa" w:w="396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6123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397" w:hRule="atLeast"/>
        </w:trPr>
        <w:tc>
          <w:tcPr>
            <w:tcW w:type="dxa" w:w="396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6123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397" w:hRule="atLeast"/>
        </w:trPr>
        <w:tc>
          <w:tcPr>
            <w:tcW w:type="dxa" w:w="396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6123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397" w:hRule="atLeast"/>
        </w:trPr>
        <w:tc>
          <w:tcPr>
            <w:tcW w:type="dxa" w:w="396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6123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{{detail}}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04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Proposed position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What replaces it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Proposed facility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Proposed facility"/>
        <w:tblDescription w:val="Columns: Item, Proposed, Current, Change"/>
      </w:tblPr>
      <w:tblGrid>
        <w:gridCol w:w="3175"/>
        <w:gridCol w:w="2494"/>
        <w:gridCol w:w="2494"/>
        <w:gridCol w:w="1928"/>
      </w:tblGrid>
      <w:tr>
        <w:trPr>
          <w:cantSplit/>
          <w:trHeight w:val="420" w:hRule="atLeast"/>
          <w:tblHeader/>
        </w:trPr>
        <w:tc>
          <w:tcPr>
            <w:tcW w:type="dxa" w:w="317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Item</w:t>
            </w:r>
          </w:p>
        </w:tc>
        <w:tc>
          <w:tcPr>
            <w:tcW w:type="dxa" w:w="249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Proposed</w:t>
            </w:r>
          </w:p>
        </w:tc>
        <w:tc>
          <w:tcPr>
            <w:tcW w:type="dxa" w:w="249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Current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Change</w:t>
            </w:r>
          </w:p>
        </w:tc>
      </w:tr>
      <w:tr>
        <w:trPr>
          <w:cantSplit/>
          <w:trHeight w:val="397" w:hRule="atLeast"/>
        </w:trPr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4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{{proposed}}</w:t>
            </w:r>
          </w:p>
        </w:tc>
        <w:tc>
          <w:tcPr>
            <w:tcW w:type="dxa" w:w="24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{{current}}</w:t>
            </w:r>
          </w:p>
        </w:tc>
        <w:tc>
          <w:tcPr>
            <w:tcW w:type="dxa" w:w="192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{{change}}</w:t>
            </w:r>
          </w:p>
        </w:tc>
      </w:tr>
      <w:tr>
        <w:trPr>
          <w:cantSplit/>
          <w:trHeight w:val="397" w:hRule="atLeast"/>
        </w:trPr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4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{{proposed}}</w:t>
            </w:r>
          </w:p>
        </w:tc>
        <w:tc>
          <w:tcPr>
            <w:tcW w:type="dxa" w:w="24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{{current}}</w:t>
            </w:r>
          </w:p>
        </w:tc>
        <w:tc>
          <w:tcPr>
            <w:tcW w:type="dxa" w:w="192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{{change}}</w:t>
            </w:r>
          </w:p>
        </w:tc>
      </w:tr>
      <w:tr>
        <w:trPr>
          <w:cantSplit/>
          <w:trHeight w:val="397" w:hRule="atLeast"/>
        </w:trPr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4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{{proposed}}</w:t>
            </w:r>
          </w:p>
        </w:tc>
        <w:tc>
          <w:tcPr>
            <w:tcW w:type="dxa" w:w="24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{{current}}</w:t>
            </w:r>
          </w:p>
        </w:tc>
        <w:tc>
          <w:tcPr>
            <w:tcW w:type="dxa" w:w="192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{{change}}</w:t>
            </w:r>
          </w:p>
        </w:tc>
      </w:tr>
      <w:tr>
        <w:trPr>
          <w:cantSplit/>
          <w:trHeight w:val="397" w:hRule="atLeast"/>
        </w:trPr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4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{{proposed}}</w:t>
            </w:r>
          </w:p>
        </w:tc>
        <w:tc>
          <w:tcPr>
            <w:tcW w:type="dxa" w:w="24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{{current}}</w:t>
            </w:r>
          </w:p>
        </w:tc>
        <w:tc>
          <w:tcPr>
            <w:tcW w:type="dxa" w:w="192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{{change}}</w:t>
            </w:r>
          </w:p>
        </w:tc>
      </w:tr>
      <w:tr>
        <w:trPr>
          <w:cantSplit/>
          <w:trHeight w:val="397" w:hRule="atLeast"/>
        </w:trPr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4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{{proposed}}</w:t>
            </w:r>
          </w:p>
        </w:tc>
        <w:tc>
          <w:tcPr>
            <w:tcW w:type="dxa" w:w="24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{{current}}</w:t>
            </w:r>
          </w:p>
        </w:tc>
        <w:tc>
          <w:tcPr>
            <w:tcW w:type="dxa" w:w="192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{{change}}</w:t>
            </w:r>
          </w:p>
        </w:tc>
      </w:tr>
      <w:tr>
        <w:trPr>
          <w:cantSplit/>
          <w:trHeight w:val="397" w:hRule="atLeast"/>
        </w:trPr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4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{{proposed}}</w:t>
            </w:r>
          </w:p>
        </w:tc>
        <w:tc>
          <w:tcPr>
            <w:tcW w:type="dxa" w:w="24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{{current}}</w:t>
            </w:r>
          </w:p>
        </w:tc>
        <w:tc>
          <w:tcPr>
            <w:tcW w:type="dxa" w:w="192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{{change}}</w:t>
            </w:r>
          </w:p>
        </w:tc>
      </w:tr>
      <w:tr>
        <w:trPr>
          <w:cantSplit/>
          <w:trHeight w:val="397" w:hRule="atLeast"/>
        </w:trPr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4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{{proposed}}</w:t>
            </w:r>
          </w:p>
        </w:tc>
        <w:tc>
          <w:tcPr>
            <w:tcW w:type="dxa" w:w="24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{{current}}</w:t>
            </w:r>
          </w:p>
        </w:tc>
        <w:tc>
          <w:tcPr>
            <w:tcW w:type="dxa" w:w="192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{{change}}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Term is deliberately retained rather than reset to 30 years. Resetting would lower the repayment further but would add approximately $71,000 of interest over the life of the loan.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05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Switching costs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What it costs to move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Switching costs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Switching costs"/>
        <w:tblDescription w:val="Columns: Cost, Amount, Payable to, Note"/>
      </w:tblPr>
      <w:tblGrid>
        <w:gridCol w:w="3515"/>
        <w:gridCol w:w="1474"/>
        <w:gridCol w:w="2608"/>
        <w:gridCol w:w="2494"/>
      </w:tblGrid>
      <w:tr>
        <w:trPr>
          <w:cantSplit/>
          <w:trHeight w:val="420" w:hRule="atLeast"/>
          <w:tblHeader/>
        </w:trPr>
        <w:tc>
          <w:tcPr>
            <w:tcW w:type="dxa" w:w="351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Cost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Amount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Payable to</w:t>
            </w:r>
          </w:p>
        </w:tc>
        <w:tc>
          <w:tcPr>
            <w:tcW w:type="dxa" w:w="249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Note</w:t>
            </w:r>
          </w:p>
        </w:tc>
      </w:tr>
      <w:tr>
        <w:trPr>
          <w:cantSplit/>
          <w:trHeight w:val="397" w:hRule="atLeast"/>
        </w:trPr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47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260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{{payable}}</w:t>
            </w:r>
          </w:p>
        </w:tc>
        <w:tc>
          <w:tcPr>
            <w:tcW w:type="dxa" w:w="24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{{note}}</w:t>
            </w:r>
          </w:p>
        </w:tc>
      </w:tr>
      <w:tr>
        <w:trPr>
          <w:cantSplit/>
          <w:trHeight w:val="397" w:hRule="atLeast"/>
        </w:trPr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47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260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{{payable}}</w:t>
            </w:r>
          </w:p>
        </w:tc>
        <w:tc>
          <w:tcPr>
            <w:tcW w:type="dxa" w:w="24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{{note}}</w:t>
            </w:r>
          </w:p>
        </w:tc>
      </w:tr>
      <w:tr>
        <w:trPr>
          <w:cantSplit/>
          <w:trHeight w:val="397" w:hRule="atLeast"/>
        </w:trPr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47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260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{{payable}}</w:t>
            </w:r>
          </w:p>
        </w:tc>
        <w:tc>
          <w:tcPr>
            <w:tcW w:type="dxa" w:w="24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{{note}}</w:t>
            </w:r>
          </w:p>
        </w:tc>
      </w:tr>
      <w:tr>
        <w:trPr>
          <w:cantSplit/>
          <w:trHeight w:val="397" w:hRule="atLeast"/>
        </w:trPr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47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260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{{payable}}</w:t>
            </w:r>
          </w:p>
        </w:tc>
        <w:tc>
          <w:tcPr>
            <w:tcW w:type="dxa" w:w="24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{{note}}</w:t>
            </w:r>
          </w:p>
        </w:tc>
      </w:tr>
      <w:tr>
        <w:trPr>
          <w:cantSplit/>
          <w:trHeight w:val="397" w:hRule="atLeast"/>
        </w:trPr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47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260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{{payable}}</w:t>
            </w:r>
          </w:p>
        </w:tc>
        <w:tc>
          <w:tcPr>
            <w:tcW w:type="dxa" w:w="24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{{note}}</w:t>
            </w:r>
          </w:p>
        </w:tc>
      </w:tr>
      <w:tr>
        <w:trPr>
          <w:cantSplit/>
          <w:trHeight w:val="397" w:hRule="atLeast"/>
        </w:trPr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47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260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{{payable}}</w:t>
            </w:r>
          </w:p>
        </w:tc>
        <w:tc>
          <w:tcPr>
            <w:tcW w:type="dxa" w:w="24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{{note}}</w:t>
            </w:r>
          </w:p>
        </w:tc>
      </w:tr>
      <w:tr>
        <w:trPr>
          <w:cantSplit/>
          <w:trHeight w:val="397" w:hRule="atLeast"/>
        </w:trPr>
        <w:tc>
          <w:tcPr>
            <w:tcW w:type="dxa" w:w="351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Total switching cost</w:t>
            </w:r>
          </w:p>
        </w:tc>
        <w:tc>
          <w:tcPr>
            <w:tcW w:type="dxa" w:w="1474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$2,340</w:t>
            </w:r>
          </w:p>
        </w:tc>
        <w:tc>
          <w:tcPr>
            <w:tcW w:type="dxa" w:w="2608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2494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06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Break-even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When the switch pays for itself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Cumulative saving against switching cost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826"/>
        <w:gridCol w:w="5651"/>
        <w:gridCol w:w="1615"/>
      </w:tblGrid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{{point.label}}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0C234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{{point.value}}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{{point.label}}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{{point.value}}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{{point.label}}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12B0CE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{{point.value}}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{{point.label}}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5B96EB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{{point.value}}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{{point.label}}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0E8AA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{{point.value}}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Break-even is the month in which cumulative saving first exceeds the $2,340 switching cost. Savings after that point are net.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07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Considerations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What you give up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B3261E"/>
          <w:spacing w:val="24"/>
          <w:sz w:val="15"/>
          <w:u w:val="none"/>
        </w:rPr>
        <w:t>Considerations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Considerations"/>
        <w:tblDescription w:val="Columns: Risk, Severity, Mitigation"/>
      </w:tblPr>
      <w:tblGrid>
        <w:gridCol w:w="4037"/>
        <w:gridCol w:w="1413"/>
        <w:gridCol w:w="4642"/>
      </w:tblGrid>
      <w:tr>
        <w:trPr>
          <w:cantSplit/>
          <w:tblHeader/>
        </w:trPr>
        <w:tc>
          <w:tcPr>
            <w:tcW w:type="dxa" w:w="403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Risk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Severity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Mitigation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08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Next steps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What we need from you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Before we lodge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{{nextSteps[0]}}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{{nextSteps[1]}}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{{nextSteps[2]}}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{{nextSteps[3]}}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{{nextSteps[4]}}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Important information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Disclaimer, privacy and terms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Disclaimer</w:t>
      </w:r>
    </w:p>
    <w:p>
      <w:pPr>
        <w:keepNext w:val="0"/>
        <w:keepLines/>
        <w:pageBreakBefore w:val="0"/>
        <w:widowControl w:val="1"/>
        <w:spacing w:before="0" w:after="0" w:line="30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{{legal.disclaimer}}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Privacy</w:t>
      </w:r>
    </w:p>
    <w:p>
      <w:pPr>
        <w:keepNext w:val="0"/>
        <w:keepLines/>
        <w:pageBreakBefore w:val="0"/>
        <w:widowControl w:val="1"/>
        <w:spacing w:before="0" w:after="0" w:line="30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{{legal.privacyNotice}}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Terms of use</w:t>
      </w:r>
    </w:p>
    <w:p>
      <w:pPr>
        <w:keepNext w:val="0"/>
        <w:keepLines/>
        <w:pageBreakBefore w:val="0"/>
        <w:widowControl w:val="1"/>
        <w:spacing w:before="0" w:after="0" w:line="30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{{legal.terms}}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24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24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4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4"/>
              <w:sz w:val="14"/>
              <w:u w:val="none"/>
            </w:rPr>
            <w:t>Refinance Assessment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07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Refinance Assessment</dc:title>
  <dc:subject>Whether refinancing is worthwhile: current position, proposed position, switching costs, break-even point and net benefit over the hold period.</dc:subject>
  <dc:creator>Aurixa Systems</dc:creator>
  <cp:keywords>Refinance, Loan review, Switching analysis, Finance &amp; Lending,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