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Limited-recourse borrowing arrangement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{{report.title}}</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{{fund.identity}}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LRBA</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ASSESSED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REFERRAL REQUIRED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{{document.version}}</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01   </w:t>
      </w:r>
      <w:r>
        <w:rPr>
          <w:rFonts w:ascii="Calibri" w:hAnsi="Calibri" w:cs="Calibri" w:eastAsia="Calibri"/>
          <w:b w:val="0"/>
          <w:i w:val="0"/>
          <w:color w:val="0C2340"/>
          <w:sz w:val="34"/>
          <w:u w:val="none"/>
        </w:rPr>
        <w:t>Scope &amp; limitations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Read this first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Scope &amp; limitations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{{scope.text}}</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{{scope.items[0]}}</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{{scope.items[1]}}</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{{scope.items[2]}}</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{{scope.items[3]}}</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02   </w:t>
      </w:r>
      <w:r>
        <w:rPr>
          <w:rFonts w:ascii="Calibri" w:hAnsi="Calibri" w:cs="Calibri" w:eastAsia="Calibri"/>
          <w:b w:val="0"/>
          <w:i w:val="0"/>
          <w:color w:val="0C2340"/>
          <w:sz w:val="34"/>
          <w:u w:val="none"/>
        </w:rPr>
        <w:t>Assessment outcome</w:t>
      </w:r>
    </w:p>
    <w:p>
      <w:pPr>
        <w:keepNext/>
        <w:keepLines/>
        <w:pageBreakBefore w:val="0"/>
        <w:widowControl w:val="1"/>
        <w:spacing w:before="0" w:after="100"/>
      </w:pPr>
      <w:r>
        <w:rPr>
          <w:rFonts w:ascii="Calibri" w:hAnsi="Calibri" w:cs="Calibri" w:eastAsia="Calibri"/>
          <w:b/>
          <w:i w:val="0"/>
          <w:caps w:val="1"/>
          <w:color w:val="4C5B73"/>
          <w:spacing w:val="26"/>
          <w:sz w:val="15"/>
          <w:u w:val="none"/>
        </w:rPr>
        <w:t>Viable, conditional or not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ASSESSMENT OUTCOME</w:t>
            </w:r>
            <w:r>
              <w:rPr>
                <w:rFonts w:ascii="Calibri" w:hAnsi="Calibri" w:cs="Calibri" w:eastAsia="Calibri"/>
                <w:b/>
                <w:i w:val="0"/>
                <w:caps w:val="1"/>
                <w:color w:val="4C5B73"/>
                <w:spacing w:val="24"/>
                <w:sz w:val="14"/>
                <w:u w:val="none"/>
              </w:rPr>
              <w:t xml:space="preserve">     CONFIDENCE: {{ASSESSMENT.CONFIDENCE}}</w:t>
            </w:r>
          </w:p>
          <w:p>
            <w:pPr>
              <w:keepNext w:val="0"/>
              <w:keepLines/>
              <w:pageBreakBefore w:val="0"/>
              <w:widowControl w:val="1"/>
              <w:spacing w:before="0" w:after="120" w:line="298" w:lineRule="auto"/>
            </w:pPr>
            <w:r>
              <w:rPr>
                <w:rFonts w:ascii="Calibri" w:hAnsi="Calibri" w:cs="Calibri" w:eastAsia="Calibri"/>
                <w:b/>
                <w:i w:val="0"/>
                <w:color w:val="0C2340"/>
                <w:sz w:val="22"/>
                <w:u w:val="none"/>
              </w:rPr>
              <w:t>{{assessment.outcome}}</w:t>
            </w:r>
          </w:p>
          <w:p>
            <w:pPr>
              <w:keepNext w:val="0"/>
              <w:keepLines/>
              <w:pageBreakBefore w:val="0"/>
              <w:widowControl w:val="1"/>
              <w:spacing w:before="0" w:after="0" w:line="312" w:lineRule="auto"/>
            </w:pPr>
            <w:r>
              <w:rPr>
                <w:rFonts w:ascii="Calibri" w:hAnsi="Calibri" w:cs="Calibri" w:eastAsia="Calibri"/>
                <w:b w:val="0"/>
                <w:i w:val="0"/>
                <w:color w:val="10192A"/>
                <w:sz w:val="17"/>
                <w:u w:val="none"/>
              </w:rPr>
              <w:t>{{assessment.rationale}}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{{assessment.conditions[0]}}</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{{assessment.conditions[1]}}</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{{assessment.conditions[2]}}</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03   </w:t>
      </w:r>
      <w:r>
        <w:rPr>
          <w:rFonts w:ascii="Calibri" w:hAnsi="Calibri" w:cs="Calibri" w:eastAsia="Calibri"/>
          <w:b w:val="0"/>
          <w:i w:val="0"/>
          <w:color w:val="0C2340"/>
          <w:sz w:val="34"/>
          <w:u w:val="none"/>
        </w:rPr>
        <w:t>Fund details</w:t>
      </w:r>
    </w:p>
    <w:p>
      <w:pPr>
        <w:keepNext/>
        <w:keepLines/>
        <w:pageBreakBefore w:val="0"/>
        <w:widowControl w:val="1"/>
        <w:spacing w:before="0" w:after="100"/>
      </w:pPr>
      <w:r>
        <w:rPr>
          <w:rFonts w:ascii="Calibri" w:hAnsi="Calibri" w:cs="Calibri" w:eastAsia="Calibri"/>
          <w:b/>
          <w:i w:val="0"/>
          <w:caps w:val="1"/>
          <w:color w:val="4C5B73"/>
          <w:spacing w:val="26"/>
          <w:sz w:val="15"/>
          <w:u w:val="none"/>
        </w:rPr>
        <w:t>The fund and its trustees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Fund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Fund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{{fund.name}}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ABN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{{fund.abn}}</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Established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{{fund.established}}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structure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{{fund.trusteeType}}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entity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{{fund.trustee}}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{{fund.members}}</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Total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{{fund.balance}}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1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{{fund.member1}}</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2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{{fund.member2}}</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Contributions p.a.</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{{fund.contributions}}</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Current liquid assets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{{fund.liquid}}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Compliance status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{{fund.compliance}}</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04   </w:t>
      </w:r>
      <w:r>
        <w:rPr>
          <w:rFonts w:ascii="Calibri" w:hAnsi="Calibri" w:cs="Calibri" w:eastAsia="Calibri"/>
          <w:b w:val="0"/>
          <w:i w:val="0"/>
          <w:color w:val="0C2340"/>
          <w:sz w:val="34"/>
          <w:u w:val="none"/>
        </w:rPr>
        <w:t>Structure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must exist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Structural requirements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tructural requirements"/>
        <w:tblDescription w:val="Columns: Ref, Requirement, Position, Evidence, Status"/>
      </w:tblPr>
      <w:tblGrid>
        <w:gridCol w:w="868"/>
        <w:gridCol w:w="3038"/>
        <w:gridCol w:w="2387"/>
        <w:gridCol w:w="2387"/>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05   </w:t>
      </w:r>
      <w:r>
        <w:rPr>
          <w:rFonts w:ascii="Calibri" w:hAnsi="Calibri" w:cs="Calibri" w:eastAsia="Calibri"/>
          <w:b w:val="0"/>
          <w:i w:val="0"/>
          <w:color w:val="0C2340"/>
          <w:sz w:val="34"/>
          <w:u w:val="none"/>
        </w:rPr>
        <w:t>Contribution &amp; liquidity</w:t>
      </w:r>
    </w:p>
    <w:p>
      <w:pPr>
        <w:keepNext/>
        <w:keepLines/>
        <w:pageBreakBefore w:val="0"/>
        <w:widowControl w:val="1"/>
        <w:spacing w:before="0" w:after="100"/>
      </w:pPr>
      <w:r>
        <w:rPr>
          <w:rFonts w:ascii="Calibri" w:hAnsi="Calibri" w:cs="Calibri" w:eastAsia="Calibri"/>
          <w:b/>
          <w:i w:val="0"/>
          <w:caps w:val="1"/>
          <w:color w:val="4C5B73"/>
          <w:spacing w:val="26"/>
          <w:sz w:val="15"/>
          <w:u w:val="none"/>
        </w:rPr>
        <w:t>Can the fund carry 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Contribution and liquidity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liquidity"/>
        <w:tblDescription w:val="Columns: Item, Annual, Monthly, Note"/>
      </w:tblPr>
      <w:tblGrid>
        <w:gridCol w:w="3628"/>
        <w:gridCol w:w="1701"/>
        <w:gridCol w:w="1587"/>
        <w:gridCol w:w="3175"/>
      </w:tblGrid>
      <w:tr>
        <w:trPr>
          <w:cantSplit/>
          <w:trHeight w:val="420" w:hRule="atLeast"/>
          <w:tblHeader/>
        </w:trPr>
        <w:tc>
          <w:tcPr>
            <w:tcW w:type="dxa" w:w="362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Annual</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Monthly</w:t>
            </w:r>
          </w:p>
        </w:tc>
        <w:tc>
          <w:tcPr>
            <w:tcW w:type="dxa" w:w="317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Net position</w:t>
            </w:r>
          </w:p>
        </w:tc>
        <w:tc>
          <w:tcPr>
            <w:tcW w:type="dxa" w:w="1701"/>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$50,420</w:t>
            </w:r>
          </w:p>
        </w:tc>
        <w:tc>
          <w:tcPr>
            <w:tcW w:type="dxa" w:w="1587"/>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$4,202</w:t>
            </w:r>
          </w:p>
        </w:tc>
        <w:tc>
          <w:tcPr>
            <w:tcW w:type="dxa" w:w="3175"/>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Liquidity buffer after acquisition is $318,400 against annual outgoings and repayments of $66,300 — 4.8 years of cover, well above the lender's 12-month minimum.</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06   </w:t>
      </w:r>
      <w:r>
        <w:rPr>
          <w:rFonts w:ascii="Calibri" w:hAnsi="Calibri" w:cs="Calibri" w:eastAsia="Calibri"/>
          <w:b w:val="0"/>
          <w:i w:val="0"/>
          <w:color w:val="0C2340"/>
          <w:sz w:val="34"/>
          <w:u w:val="none"/>
        </w:rPr>
        <w:t>Lender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Each one, with evidence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Lender criteria</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Lender criteria"/>
        <w:tblDescription w:val="Columns: Ref, Requirement, Threshold, Position, Status"/>
      </w:tblPr>
      <w:tblGrid>
        <w:gridCol w:w="897"/>
        <w:gridCol w:w="3364"/>
        <w:gridCol w:w="1906"/>
        <w:gridCol w:w="2467"/>
        <w:gridCol w:w="1458"/>
      </w:tblGrid>
      <w:tr>
        <w:trPr>
          <w:cantSplit/>
          <w:tblHeader/>
        </w:trPr>
        <w:tc>
          <w:tcPr>
            <w:tcW w:type="dxa" w:w="89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36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190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Threshold</w:t>
            </w:r>
          </w:p>
        </w:tc>
        <w:tc>
          <w:tcPr>
            <w:tcW w:type="dxa" w:w="246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145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07   </w:t>
      </w:r>
      <w:r>
        <w:rPr>
          <w:rFonts w:ascii="Calibri" w:hAnsi="Calibri" w:cs="Calibri" w:eastAsia="Calibri"/>
          <w:b w:val="0"/>
          <w:i w:val="0"/>
          <w:color w:val="0C2340"/>
          <w:sz w:val="34"/>
          <w:u w:val="none"/>
        </w:rPr>
        <w:t>Servicing</w:t>
      </w:r>
    </w:p>
    <w:p>
      <w:pPr>
        <w:keepNext/>
        <w:keepLines/>
        <w:pageBreakBefore w:val="0"/>
        <w:widowControl w:val="1"/>
        <w:spacing w:before="0" w:after="100"/>
      </w:pPr>
      <w:r>
        <w:rPr>
          <w:rFonts w:ascii="Calibri" w:hAnsi="Calibri" w:cs="Calibri" w:eastAsia="Calibri"/>
          <w:b/>
          <w:i w:val="0"/>
          <w:caps w:val="1"/>
          <w:color w:val="4C5B73"/>
          <w:spacing w:val="26"/>
          <w:sz w:val="15"/>
          <w:u w:val="none"/>
        </w:rPr>
        <w:t>Fund-level calculation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Fund servicing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und servicing"/>
        <w:tblDescription w:val="Columns: Line, Description, Amount p.a."/>
      </w:tblPr>
      <w:tblGrid>
        <w:gridCol w:w="1134"/>
        <w:gridCol w:w="6009"/>
        <w:gridCol w:w="2948"/>
      </w:tblGrid>
      <w:tr>
        <w:trPr>
          <w:cantSplit/>
          <w:trHeight w:val="420" w:hRule="atLeast"/>
          <w:tblHeader/>
        </w:trPr>
        <w:tc>
          <w:tcPr>
            <w:tcW w:type="dxa" w:w="113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Line</w:t>
            </w:r>
          </w:p>
        </w:tc>
        <w:tc>
          <w:tcPr>
            <w:tcW w:type="dxa" w:w="6009"/>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Description</w:t>
            </w:r>
          </w:p>
        </w:tc>
        <w:tc>
          <w:tcPr>
            <w:tcW w:type="dxa" w:w="294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 p.a.</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The lender shades rental income to 80% and assesses repayments at a 9.15% rate over 20 years. Contributions are accepted at 100% given an eleven-year history at or near the cap.</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08   </w:t>
      </w:r>
      <w:r>
        <w:rPr>
          <w:rFonts w:ascii="Calibri" w:hAnsi="Calibri" w:cs="Calibri" w:eastAsia="Calibri"/>
          <w:b w:val="0"/>
          <w:i w:val="0"/>
          <w:color w:val="0C2340"/>
          <w:sz w:val="34"/>
          <w:u w:val="none"/>
        </w:rPr>
        <w:t>Risks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trustees must weigh</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6"/>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09   </w:t>
      </w:r>
      <w:r>
        <w:rPr>
          <w:rFonts w:ascii="Calibri" w:hAnsi="Calibri" w:cs="Calibri" w:eastAsia="Calibri"/>
          <w:b w:val="0"/>
          <w:i w:val="0"/>
          <w:color w:val="0C2340"/>
          <w:sz w:val="34"/>
          <w:u w:val="none"/>
        </w:rPr>
        <w:t>Outstanding items</w:t>
      </w:r>
    </w:p>
    <w:p>
      <w:pPr>
        <w:keepNext/>
        <w:keepLines/>
        <w:pageBreakBefore w:val="0"/>
        <w:widowControl w:val="1"/>
        <w:spacing w:before="0" w:after="100"/>
      </w:pPr>
      <w:r>
        <w:rPr>
          <w:rFonts w:ascii="Calibri" w:hAnsi="Calibri" w:cs="Calibri" w:eastAsia="Calibri"/>
          <w:b/>
          <w:i w:val="0"/>
          <w:caps w:val="1"/>
          <w:color w:val="4C5B73"/>
          <w:spacing w:val="26"/>
          <w:sz w:val="15"/>
          <w:u w:val="none"/>
        </w:rPr>
        <w:t>Before proceeding</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Outstanding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{{outstanding[0]}}</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{{outstanding[1]}}</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{{outstanding[2]}}</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{{outstanding[3]}}</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{{outstanding[4]}}</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{{outstanding[5]}}</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Professional referrals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assessment does not substitute for advice the trustees are required to obtain. Independent licensed financial advice, legal advice on the bare trust, and accounting advice on the tax consequences are each required before the arrangement is entered into.</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10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Prepared and reviewed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{{role}}</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{{role}}</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{{role}}</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SMSF Finance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SMSF Finance Assessment</dc:title>
  <dc:subject>Assessment of a limited-recourse borrowing arrangement for a self-managed super fund, against fund, trustee, asset and lender requirements.</dc:subject>
  <dc:creator>Aurixa Systems</dc:creator>
  <cp:keywords>SMSF, LRBA, Superannuation lending,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