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Internal working paper — not for client 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{{assessment.identity}}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Calculator 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{{assessment.calculatorVersion}}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Surplus and maximum loan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SURPLUS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NET SURPLUS RATIO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LOAN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{{outcome.surplus}}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assessed commitments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{{outcome.nsr}}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Minimum 1.00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{{outcome.maxLoan}}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the assessment rate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6.14% + 2.81%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with shading applied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Line, Applicant, Income type, Gross p.a., Shading, Assessed p.a., Assessed p.m."/>
      </w:tblPr>
      <w:tblGrid>
        <w:gridCol w:w="908"/>
        <w:gridCol w:w="1615"/>
        <w:gridCol w:w="2220"/>
        <w:gridCol w:w="1514"/>
        <w:gridCol w:w="1009"/>
        <w:gridCol w:w="1514"/>
        <w:gridCol w:w="1312"/>
      </w:tblGrid>
      <w:tr>
        <w:trPr>
          <w:cantSplit/>
          <w:trHeight w:val="420" w:hRule="atLeast"/>
          <w:tblHeader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16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22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p.a.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p.a.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$377,860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$362,274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$30,190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Lender A shades residential rental income to 90% and bonus income to 80% on a two-year average. Line references are cited in the calculation at section five.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Commitments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With assessment treatment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Line, Commitment, Lender, Limit / balance, Actual p.m., Treatment, Assessed p.m."/>
      </w:tblPr>
      <w:tblGrid>
        <w:gridCol w:w="865"/>
        <w:gridCol w:w="2114"/>
        <w:gridCol w:w="1153"/>
        <w:gridCol w:w="1346"/>
        <w:gridCol w:w="1153"/>
        <w:gridCol w:w="2210"/>
        <w:gridCol w:w="1249"/>
      </w:tblGrid>
      <w:tr>
        <w:trPr>
          <w:cantSplit/>
          <w:trHeight w:val="420" w:hRule="atLeast"/>
          <w:tblHeader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34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 p.m.</w:t>
            </w:r>
          </w:p>
        </w:tc>
        <w:tc>
          <w:tcPr>
            <w:tcW w:type="dxa" w:w="22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$12,951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Living expenses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Declared against benchmark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Living expenses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iving expenses"/>
        <w:tblDescription w:val="Columns: Line, Basis, Amount p.m., Applied, Note"/>
      </w:tblPr>
      <w:tblGrid>
        <w:gridCol w:w="1020"/>
        <w:gridCol w:w="3855"/>
        <w:gridCol w:w="1587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applied living expenses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$7,460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Calculation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Line by line to the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Servicing calculation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rvicing calculation"/>
        <w:tblDescription w:val="Columns: Line, Description, Reference, Amount p.m."/>
      </w:tblPr>
      <w:tblGrid>
        <w:gridCol w:w="1020"/>
        <w:gridCol w:w="4762"/>
        <w:gridCol w:w="2381"/>
        <w:gridCol w:w="1928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Reference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Outcome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NSR minimum 1.00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Every figure above is traceable to a numbered line in sections two to four. A reviewer should be able to re-perform this calculation without reference to the lender's calculator.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notes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item was treated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treatment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treatment"/>
        <w:tblDescription w:val="Columns: Ref, Policy item, Treatment applied, Status"/>
      </w:tblPr>
      <w:tblGrid>
        <w:gridCol w:w="1020"/>
        <w:gridCol w:w="2948"/>
        <w:gridCol w:w="4649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item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 applied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6.04 is flagged for review: reducing the combined $28,000 of card limits to $10,000 would add approximately $684 a month of surplus and $96,000 of capacity.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Reviewer sign-off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Prepared and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is an internal working paper prepared to support a credit submission. It is not a client-facing document, is not credit assistance, and must not be provided to the applicants or to any third party without compliance approval.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Serviceability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Serviceability Assessment</dc:title>
  <dc:subject>Internal working document showing the serviceability calculation for one lender, line by line, so a credit decision can be checked.</dc:subject>
  <dc:creator>Aurixa Systems</dc:creator>
  <cp:keywords>Serviceability, Servicing calculation, Credit working,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