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Debt structure &amp; funding plan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STRATEGY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SEQUENCED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Executive summary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The strategy in brief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2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TOTAL DEBT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BLENDED RATE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USABLE EQUITY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CURRENT LVR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{{position.totalDebt}}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Across 4 assets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{{position.blendedRate}}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Current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{{position.usableEquity}}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80% LVR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{{position.lvr}}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Portfolio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Position today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Current structure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Current facilities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urrent facilities"/>
        <w:tblDescription w:val="Columns: Facility, Security, Limit, Balance, Rate, Type, Expiry"/>
      </w:tblPr>
      <w:tblGrid>
        <w:gridCol w:w="1312"/>
        <w:gridCol w:w="2624"/>
        <w:gridCol w:w="1312"/>
        <w:gridCol w:w="1312"/>
        <w:gridCol w:w="1009"/>
        <w:gridCol w:w="1413"/>
        <w:gridCol w:w="1110"/>
      </w:tblGrid>
      <w:tr>
        <w:trPr>
          <w:cantSplit/>
          <w:trHeight w:val="420" w:hRule="atLeast"/>
          <w:tblHeader/>
        </w:trPr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Security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Balance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</w:tr>
      <w:tr>
        <w:trPr>
          <w:cantSplit/>
          <w:trHeight w:val="397" w:hRule="atLeast"/>
        </w:trPr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1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1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Both facilities are cross-collateralised. No property can be released, sold or revalued independently under this structure.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Goals &amp; constraints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Objective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{{goals.objective}}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{{goals.constraint}}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{{goals.constraint2}}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Preference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{{goals.preference}}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Target structure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Where we are going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Proposed facilities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oposed facilities"/>
        <w:tblDescription w:val="Columns: Facility, Security, Limit, Purpose, Lender, Type"/>
      </w:tblPr>
      <w:tblGrid>
        <w:gridCol w:w="1168"/>
        <w:gridCol w:w="2124"/>
        <w:gridCol w:w="1381"/>
        <w:gridCol w:w="2549"/>
        <w:gridCol w:w="1381"/>
        <w:gridCol w:w="1487"/>
      </w:tblGrid>
      <w:tr>
        <w:trPr>
          <w:cantSplit/>
          <w:trHeight w:val="420" w:hRule="atLeast"/>
          <w:tblHeader/>
        </w:trPr>
        <w:tc>
          <w:tcPr>
            <w:tcW w:type="dxa" w:w="11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Security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Purpose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  <w:tr>
        <w:trPr>
          <w:cantSplit/>
          <w:trHeight w:val="397" w:hRule="atLeast"/>
        </w:trPr>
        <w:tc>
          <w:tcPr>
            <w:tcW w:type="dxa" w:w="11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21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25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4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Current versus target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urrent versus target"/>
        <w:tblDescription w:val="Compares: Today, Target, Change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Today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Target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Change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Facilities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Cross-collateralised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 — all four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Removed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Blended rate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6.52%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6.18%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−0.34%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interest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$120,424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$115,146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−$5,278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Usable equity accessible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$340,000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+$340,000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Portfolio LVR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63.4%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69.1%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+5.7%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Sequencing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The order matters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Funding runway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{{strategy.runway}}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Capacity released against planned acquisitions, 24 months   ·   Source: Aurixa funding model   ·   Alt text: Released equity covers both planned deposits with $42,000 headroom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What we need from you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{{strategy.actions[0]}}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{{strategy.actions[1]}}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{{strategy.actions[2]}}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Important information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Finance Strategy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Strategy Report</dc:title>
  <dc:subject>The client's whole debt strategy: current structure, target structure, sequencing, and the funding runway for planned acquisitions.</dc:subject>
  <dc:creator>Aurixa Systems</dc:creator>
  <cp:keywords>Finance strategy, Debt structure, Funding plan,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