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40"/>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64"/>
                <w:sz w:val="16"/>
                <w:u w:val="none"/>
              </w:rPr>
              <w:t>Debt structure &amp; funding plan</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6"/>
                <w:sz w:val="60"/>
                <w:u w:val="none"/>
              </w:rPr>
              <w:t>Finance Strategy Report</w:t>
            </w:r>
          </w:p>
          <w:p>
            <w:pPr>
              <w:keepNext w:val="0"/>
              <w:keepLines/>
              <w:pageBreakBefore w:val="0"/>
              <w:widowControl w:val="1"/>
              <w:spacing w:before="0" w:after="0" w:line="322" w:lineRule="auto"/>
            </w:pPr>
            <w:r>
              <w:rPr>
                <w:rFonts w:ascii="Calibri" w:hAnsi="Calibri" w:cs="Calibri" w:eastAsia="Calibri"/>
                <w:b w:val="0"/>
                <w:i w:val="0"/>
                <w:color w:val="AFC0D6"/>
                <w:sz w:val="22"/>
                <w:u w:val="none"/>
              </w:rPr>
              <w:t>How your lending should be structured to support the next three acquisitions, and the order the moves need to happen in.</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STRATEGY</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SEQUENCED</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STRESS-TESTED</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01   Executive summary</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The strategy in brief</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Executive summary</w:t>
            </w:r>
          </w:p>
          <w:p>
            <w:pPr>
              <w:keepNext/>
              <w:keepLines/>
              <w:pageBreakBefore w:val="0"/>
              <w:widowControl w:val="1"/>
              <w:spacing w:before="0" w:after="120" w:line="293" w:lineRule="auto"/>
            </w:pPr>
            <w:r>
              <w:rPr>
                <w:rFonts w:ascii="Calibri" w:hAnsi="Calibri" w:cs="Calibri" w:eastAsia="Calibri"/>
                <w:b/>
                <w:i w:val="0"/>
                <w:color w:val="0C2340"/>
                <w:sz w:val="23"/>
                <w:u w:val="none"/>
              </w:rPr>
              <w:t>Split the cross-collateralised facilities first, then release equity — doing it the other way round costs you a full valuation cycle.</w:t>
            </w:r>
          </w:p>
          <w:p>
            <w:pPr>
              <w:keepNext w:val="0"/>
              <w:keepLines/>
              <w:pageBreakBefore w:val="0"/>
              <w:widowControl w:val="1"/>
              <w:spacing w:before="0" w:after="0" w:line="326" w:lineRule="auto"/>
            </w:pPr>
            <w:r>
              <w:rPr>
                <w:rFonts w:ascii="Calibri" w:hAnsi="Calibri" w:cs="Calibri" w:eastAsia="Calibri"/>
                <w:b w:val="0"/>
                <w:i w:val="0"/>
                <w:color w:val="10192A"/>
                <w:sz w:val="19"/>
                <w:u w:val="none"/>
              </w:rPr>
              <w:t>Your four properties are currently secured under two cross-collateralised facilities with a single lender. That structure has produced a blended rate 0.34% above market and, more importantly, means any equity release requires revaluation of all four assets together.</w:t>
            </w:r>
          </w:p>
          <w:p>
            <w:pPr>
              <w:keepNext w:val="0"/>
              <w:keepLines/>
              <w:pageBreakBefore w:val="0"/>
              <w:widowControl w:val="1"/>
              <w:spacing w:before="100" w:after="0" w:line="326" w:lineRule="auto"/>
            </w:pPr>
            <w:r>
              <w:rPr>
                <w:rFonts w:ascii="Calibri" w:hAnsi="Calibri" w:cs="Calibri" w:eastAsia="Calibri"/>
                <w:b w:val="0"/>
                <w:i w:val="0"/>
                <w:color w:val="10192A"/>
                <w:sz w:val="19"/>
                <w:u w:val="none"/>
              </w:rPr>
              <w:t>The recommended structure separates each property into a standalone facility across two lenders, with a dedicated equity release facility against the two assets that have grown most. This releases $340,000 of usable equity and reduces the blended rate to 6.18%.</w:t>
            </w:r>
          </w:p>
          <w:p>
            <w:pPr>
              <w:keepNext w:val="0"/>
              <w:keepLines/>
              <w:pageBreakBefore w:val="0"/>
              <w:widowControl w:val="1"/>
              <w:spacing w:before="100" w:after="0" w:line="326" w:lineRule="auto"/>
            </w:pPr>
            <w:r>
              <w:rPr>
                <w:rFonts w:ascii="Calibri" w:hAnsi="Calibri" w:cs="Calibri" w:eastAsia="Calibri"/>
                <w:b w:val="0"/>
                <w:i w:val="0"/>
                <w:color w:val="10192A"/>
                <w:sz w:val="19"/>
                <w:u w:val="none"/>
              </w:rPr>
              <w:t>Sequencing matters. Releasing equity before splitting the facilities would lock the current lender's valuations in for a further six months.</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What this means</w:t>
            </w:r>
          </w:p>
          <w:p>
            <w:pPr>
              <w:keepNext w:val="0"/>
              <w:keepLines/>
              <w:pageBreakBefore w:val="0"/>
              <w:widowControl w:val="1"/>
              <w:spacing w:before="0" w:after="0" w:line="326"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Unwind cross-collateralisation before any equity release.</w:t>
            </w:r>
          </w:p>
          <w:p>
            <w:pPr>
              <w:keepNext w:val="0"/>
              <w:keepLines/>
              <w:pageBreakBefore w:val="0"/>
              <w:widowControl w:val="1"/>
              <w:spacing w:before="80" w:after="0" w:line="326"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Blended rate falls from 6.52% to 6.18% — $9,180 per year.</w:t>
            </w:r>
          </w:p>
          <w:p>
            <w:pPr>
              <w:keepNext w:val="0"/>
              <w:keepLines/>
              <w:pageBreakBefore w:val="0"/>
              <w:widowControl w:val="1"/>
              <w:spacing w:before="80" w:after="0" w:line="326"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$340,000 of usable equity is released, funding two acquisitions.</w:t>
            </w:r>
          </w:p>
          <w:p>
            <w:pPr>
              <w:keepNext w:val="0"/>
              <w:keepLines/>
              <w:pageBreakBefore w:val="0"/>
              <w:widowControl w:val="1"/>
              <w:spacing w:before="80" w:after="0" w:line="326"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The full sequence takes approximately 14 weeks.</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TOTAL DEBT</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BLENDED RATE</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USABLE EQUITY</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CURRENT LVR</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$1,847,000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Across 4 assets</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6.52%</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Current</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$340,000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At 80% LVR</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63.4%</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Portfolio</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02   Position today</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Current structure</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Current facilities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urrent facilities"/>
        <w:tblDescription w:val="Columns: Facility, Security, Limit, Balance, Rate, Type, Expiry"/>
      </w:tblPr>
      <w:tblGrid>
        <w:gridCol w:w="1312"/>
        <w:gridCol w:w="2624"/>
        <w:gridCol w:w="1312"/>
        <w:gridCol w:w="1312"/>
        <w:gridCol w:w="1009"/>
        <w:gridCol w:w="1413"/>
        <w:gridCol w:w="1110"/>
      </w:tblGrid>
      <w:tr>
        <w:trPr>
          <w:cantSplit/>
          <w:trHeight w:val="420" w:hRule="atLeast"/>
          <w:tblHeader/>
        </w:trPr>
        <w:tc>
          <w:tcPr>
            <w:tcW w:type="dxa" w:w="1312"/>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Facility</w:t>
            </w:r>
          </w:p>
        </w:tc>
        <w:tc>
          <w:tcPr>
            <w:tcW w:type="dxa" w:w="2624"/>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Security</w:t>
            </w:r>
          </w:p>
        </w:tc>
        <w:tc>
          <w:tcPr>
            <w:tcW w:type="dxa" w:w="1312"/>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Limit</w:t>
            </w:r>
          </w:p>
        </w:tc>
        <w:tc>
          <w:tcPr>
            <w:tcW w:type="dxa" w:w="1312"/>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Balance</w:t>
            </w:r>
          </w:p>
        </w:tc>
        <w:tc>
          <w:tcPr>
            <w:tcW w:type="dxa" w:w="1009"/>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Rate</w:t>
            </w:r>
          </w:p>
        </w:tc>
        <w:tc>
          <w:tcPr>
            <w:tcW w:type="dxa" w:w="1413"/>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Type</w:t>
            </w:r>
          </w:p>
        </w:tc>
        <w:tc>
          <w:tcPr>
            <w:tcW w:type="dxa" w:w="1110"/>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Expiry</w:t>
            </w:r>
          </w:p>
        </w:tc>
      </w:tr>
      <w:tr>
        <w:trPr>
          <w:cantSplit/>
          <w:trHeight w:val="397" w:hRule="atLeast"/>
        </w:trPr>
        <w:tc>
          <w:tcPr>
            <w:tcW w:type="dxa" w:w="131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Facility 1</w:t>
            </w:r>
          </w:p>
        </w:tc>
        <w:tc>
          <w:tcPr>
            <w:tcW w:type="dxa" w:w="262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 Example St + 12 Sample Ave</w:t>
            </w:r>
          </w:p>
        </w:tc>
        <w:tc>
          <w:tcPr>
            <w:tcW w:type="dxa" w:w="131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$801,000</w:t>
            </w:r>
          </w:p>
        </w:tc>
        <w:tc>
          <w:tcPr>
            <w:tcW w:type="dxa" w:w="131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$789,400</w:t>
            </w:r>
          </w:p>
        </w:tc>
        <w:tc>
          <w:tcPr>
            <w:tcW w:type="dxa" w:w="100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6.44%</w:t>
            </w:r>
          </w:p>
        </w:tc>
        <w:tc>
          <w:tcPr>
            <w:tcW w:type="dxa" w:w="1413"/>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P&amp;I variable</w:t>
            </w:r>
          </w:p>
        </w:tc>
        <w:tc>
          <w:tcPr>
            <w:tcW w:type="dxa" w:w="1110"/>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131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Facility 2</w:t>
            </w:r>
          </w:p>
        </w:tc>
        <w:tc>
          <w:tcPr>
            <w:tcW w:type="dxa" w:w="262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21 Test Rd + 9 Demo Cl</w:t>
            </w:r>
          </w:p>
        </w:tc>
        <w:tc>
          <w:tcPr>
            <w:tcW w:type="dxa" w:w="131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$1,062,000</w:t>
            </w:r>
          </w:p>
        </w:tc>
        <w:tc>
          <w:tcPr>
            <w:tcW w:type="dxa" w:w="131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$1,057,600</w:t>
            </w:r>
          </w:p>
        </w:tc>
        <w:tc>
          <w:tcPr>
            <w:tcW w:type="dxa" w:w="1009"/>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6.58%</w:t>
            </w:r>
          </w:p>
        </w:tc>
        <w:tc>
          <w:tcPr>
            <w:tcW w:type="dxa" w:w="1413"/>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IO fixed</w:t>
            </w:r>
          </w:p>
        </w:tc>
        <w:tc>
          <w:tcPr>
            <w:tcW w:type="dxa" w:w="1110"/>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03/2027</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Both facilities are cross-collateralised. No property can be released, sold or revalued independently under this structure.</w:t>
      </w:r>
    </w:p>
    <w:p>
      <w:pPr>
        <w:keepNext w:val="0"/>
        <w:keepLines/>
        <w:pageBreakBefore w:val="0"/>
        <w:widowControl w:val="1"/>
        <w:spacing w:before="0" w:after="0" w:line="12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Goals &amp; constraints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297"/>
              <w:gridCol w:w="7275"/>
            </w:tblGrid>
            <w:tr>
              <w:trPr>
                <w:cantSplit/>
                <w:trHeight w:val="431" w:hRule="atLeast"/>
              </w:trPr>
              <w:tc>
                <w:tcPr>
                  <w:tcW w:type="dxa" w:w="2297"/>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Objective</w:t>
                  </w:r>
                </w:p>
              </w:tc>
              <w:tc>
                <w:tcPr>
                  <w:tcW w:type="dxa" w:w="7275"/>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Acquire two further investment properties over 24 months</w:t>
                  </w:r>
                </w:p>
              </w:tc>
            </w:tr>
            <w:tr>
              <w:trPr>
                <w:cantSplit/>
                <w:trHeight w:val="431" w:hRule="atLeast"/>
              </w:trPr>
              <w:tc>
                <w:tcPr>
                  <w:tcW w:type="dxa" w:w="2297"/>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Constraint</w:t>
                  </w:r>
                </w:p>
              </w:tc>
              <w:tc>
                <w:tcPr>
                  <w:tcW w:type="dxa" w:w="7275"/>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Total portfolio LVR must remain below 70%</w:t>
                  </w:r>
                </w:p>
              </w:tc>
            </w:tr>
            <w:tr>
              <w:trPr>
                <w:cantSplit/>
                <w:trHeight w:val="431" w:hRule="atLeast"/>
              </w:trPr>
              <w:tc>
                <w:tcPr>
                  <w:tcW w:type="dxa" w:w="2297"/>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Constraint</w:t>
                  </w:r>
                </w:p>
              </w:tc>
              <w:tc>
                <w:tcPr>
                  <w:tcW w:type="dxa" w:w="7275"/>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No additional cash contribution available</w:t>
                  </w:r>
                </w:p>
              </w:tc>
            </w:tr>
            <w:tr>
              <w:trPr>
                <w:cantSplit/>
                <w:trHeight w:val="431" w:hRule="atLeast"/>
              </w:trPr>
              <w:tc>
                <w:tcPr>
                  <w:tcW w:type="dxa" w:w="2297"/>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Preference</w:t>
                  </w:r>
                </w:p>
              </w:tc>
              <w:tc>
                <w:tcPr>
                  <w:tcW w:type="dxa" w:w="7275"/>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Reduce exposure to a single lender</w:t>
                  </w:r>
                </w:p>
              </w:tc>
            </w:tr>
          </w:tbl>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03   Target structure</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Where we are going</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Proposed facilities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Proposed facilities"/>
        <w:tblDescription w:val="Columns: Facility, Security, Limit, Purpose, Lender, Type"/>
      </w:tblPr>
      <w:tblGrid>
        <w:gridCol w:w="1168"/>
        <w:gridCol w:w="2124"/>
        <w:gridCol w:w="1381"/>
        <w:gridCol w:w="2549"/>
        <w:gridCol w:w="1381"/>
        <w:gridCol w:w="1487"/>
      </w:tblGrid>
      <w:tr>
        <w:trPr>
          <w:cantSplit/>
          <w:trHeight w:val="420" w:hRule="atLeast"/>
          <w:tblHeader/>
        </w:trPr>
        <w:tc>
          <w:tcPr>
            <w:tcW w:type="dxa" w:w="1168"/>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Facility</w:t>
            </w:r>
          </w:p>
        </w:tc>
        <w:tc>
          <w:tcPr>
            <w:tcW w:type="dxa" w:w="2124"/>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Security</w:t>
            </w:r>
          </w:p>
        </w:tc>
        <w:tc>
          <w:tcPr>
            <w:tcW w:type="dxa" w:w="138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Limit</w:t>
            </w:r>
          </w:p>
        </w:tc>
        <w:tc>
          <w:tcPr>
            <w:tcW w:type="dxa" w:w="2549"/>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Purpose</w:t>
            </w:r>
          </w:p>
        </w:tc>
        <w:tc>
          <w:tcPr>
            <w:tcW w:type="dxa" w:w="138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Lender</w:t>
            </w:r>
          </w:p>
        </w:tc>
        <w:tc>
          <w:tcPr>
            <w:tcW w:type="dxa" w:w="1487"/>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Type</w:t>
            </w:r>
          </w:p>
        </w:tc>
      </w:tr>
      <w:tr>
        <w:trPr>
          <w:cantSplit/>
          <w:trHeight w:val="397" w:hRule="atLeast"/>
        </w:trPr>
        <w:tc>
          <w:tcPr>
            <w:tcW w:type="dxa" w:w="116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A1</w:t>
            </w:r>
          </w:p>
        </w:tc>
        <w:tc>
          <w:tcPr>
            <w:tcW w:type="dxa" w:w="212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 Example St</w:t>
            </w:r>
          </w:p>
        </w:tc>
        <w:tc>
          <w:tcPr>
            <w:tcW w:type="dxa" w:w="138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$412,000</w:t>
            </w:r>
          </w:p>
        </w:tc>
        <w:tc>
          <w:tcPr>
            <w:tcW w:type="dxa" w:w="25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Standalone investment</w:t>
            </w:r>
          </w:p>
        </w:tc>
        <w:tc>
          <w:tcPr>
            <w:tcW w:type="dxa" w:w="138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A</w:t>
            </w:r>
          </w:p>
        </w:tc>
        <w:tc>
          <w:tcPr>
            <w:tcW w:type="dxa" w:w="14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IO variable</w:t>
            </w:r>
          </w:p>
        </w:tc>
      </w:tr>
      <w:tr>
        <w:trPr>
          <w:cantSplit/>
          <w:trHeight w:val="397" w:hRule="atLeast"/>
        </w:trPr>
        <w:tc>
          <w:tcPr>
            <w:tcW w:type="dxa" w:w="116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A2</w:t>
            </w:r>
          </w:p>
        </w:tc>
        <w:tc>
          <w:tcPr>
            <w:tcW w:type="dxa" w:w="212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 Sample Ave</w:t>
            </w:r>
          </w:p>
        </w:tc>
        <w:tc>
          <w:tcPr>
            <w:tcW w:type="dxa" w:w="138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$389,000</w:t>
            </w:r>
          </w:p>
        </w:tc>
        <w:tc>
          <w:tcPr>
            <w:tcW w:type="dxa" w:w="2549"/>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Standalone investment</w:t>
            </w:r>
          </w:p>
        </w:tc>
        <w:tc>
          <w:tcPr>
            <w:tcW w:type="dxa" w:w="138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A</w:t>
            </w:r>
          </w:p>
        </w:tc>
        <w:tc>
          <w:tcPr>
            <w:tcW w:type="dxa" w:w="148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IO variable</w:t>
            </w:r>
          </w:p>
        </w:tc>
      </w:tr>
      <w:tr>
        <w:trPr>
          <w:cantSplit/>
          <w:trHeight w:val="397" w:hRule="atLeast"/>
        </w:trPr>
        <w:tc>
          <w:tcPr>
            <w:tcW w:type="dxa" w:w="116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B1</w:t>
            </w:r>
          </w:p>
        </w:tc>
        <w:tc>
          <w:tcPr>
            <w:tcW w:type="dxa" w:w="212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21 Test Rd</w:t>
            </w:r>
          </w:p>
        </w:tc>
        <w:tc>
          <w:tcPr>
            <w:tcW w:type="dxa" w:w="138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$524,000</w:t>
            </w:r>
          </w:p>
        </w:tc>
        <w:tc>
          <w:tcPr>
            <w:tcW w:type="dxa" w:w="25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Standalone investment</w:t>
            </w:r>
          </w:p>
        </w:tc>
        <w:tc>
          <w:tcPr>
            <w:tcW w:type="dxa" w:w="138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B</w:t>
            </w:r>
          </w:p>
        </w:tc>
        <w:tc>
          <w:tcPr>
            <w:tcW w:type="dxa" w:w="14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P&amp;I variable</w:t>
            </w:r>
          </w:p>
        </w:tc>
      </w:tr>
      <w:tr>
        <w:trPr>
          <w:cantSplit/>
          <w:trHeight w:val="397" w:hRule="atLeast"/>
        </w:trPr>
        <w:tc>
          <w:tcPr>
            <w:tcW w:type="dxa" w:w="116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B2</w:t>
            </w:r>
          </w:p>
        </w:tc>
        <w:tc>
          <w:tcPr>
            <w:tcW w:type="dxa" w:w="212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 Demo Close</w:t>
            </w:r>
          </w:p>
        </w:tc>
        <w:tc>
          <w:tcPr>
            <w:tcW w:type="dxa" w:w="138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$522,000</w:t>
            </w:r>
          </w:p>
        </w:tc>
        <w:tc>
          <w:tcPr>
            <w:tcW w:type="dxa" w:w="2549"/>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Standalone investment</w:t>
            </w:r>
          </w:p>
        </w:tc>
        <w:tc>
          <w:tcPr>
            <w:tcW w:type="dxa" w:w="138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B</w:t>
            </w:r>
          </w:p>
        </w:tc>
        <w:tc>
          <w:tcPr>
            <w:tcW w:type="dxa" w:w="148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P&amp;I variable</w:t>
            </w:r>
          </w:p>
        </w:tc>
      </w:tr>
      <w:tr>
        <w:trPr>
          <w:cantSplit/>
          <w:trHeight w:val="397" w:hRule="atLeast"/>
        </w:trPr>
        <w:tc>
          <w:tcPr>
            <w:tcW w:type="dxa" w:w="116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B3</w:t>
            </w:r>
          </w:p>
        </w:tc>
        <w:tc>
          <w:tcPr>
            <w:tcW w:type="dxa" w:w="212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21 Test Rd (2nd)</w:t>
            </w:r>
          </w:p>
        </w:tc>
        <w:tc>
          <w:tcPr>
            <w:tcW w:type="dxa" w:w="138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$340,000</w:t>
            </w:r>
          </w:p>
        </w:tc>
        <w:tc>
          <w:tcPr>
            <w:tcW w:type="dxa" w:w="2549"/>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Equity release — deposits</w:t>
            </w:r>
          </w:p>
        </w:tc>
        <w:tc>
          <w:tcPr>
            <w:tcW w:type="dxa" w:w="138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B</w:t>
            </w:r>
          </w:p>
        </w:tc>
        <w:tc>
          <w:tcPr>
            <w:tcW w:type="dxa" w:w="148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IO variable</w:t>
            </w:r>
          </w:p>
        </w:tc>
      </w:tr>
    </w:tbl>
    <w:p>
      <w:pPr>
        <w:keepNext w:val="0"/>
        <w:keepLines/>
        <w:pageBreakBefore w:val="0"/>
        <w:widowControl w:val="1"/>
        <w:spacing w:before="0" w:after="0" w:line="126"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Current versus target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urrent versus target"/>
        <w:tblDescription w:val="Compares: Today, Target, Change"/>
      </w:tblPr>
      <w:tblGrid>
        <w:gridCol w:w="2624"/>
        <w:gridCol w:w="2489"/>
        <w:gridCol w:w="2489"/>
        <w:gridCol w:w="2489"/>
      </w:tblGrid>
      <w:tr>
        <w:trPr>
          <w:cantSplit/>
          <w:trHeight w:val="510" w:hRule="atLeast"/>
          <w:tblHeader/>
        </w:trPr>
        <w:tc>
          <w:tcPr>
            <w:tcW w:type="dxa" w:w="2624"/>
            <w:tcBorders>
              <w:top w:val="nil"/>
              <w:left w:val="nil"/>
              <w:bottom w:val="single" w:sz="8" w:space="0" w:color="1D6FE0"/>
              <w:right w:val="single" w:sz="16" w:space="0" w:color="FFFFFF"/>
            </w:tcBorders>
            <w:shd w:val="clear" w:color="auto" w:fill="1554AE"/>
            <w:tcMar>
              <w:top w:w="105" w:type="dxa"/>
              <w:left w:w="147" w:type="dxa"/>
              <w:bottom w:w="105" w:type="dxa"/>
              <w:right w:w="147" w:type="dxa"/>
            </w:tcMar>
            <w:vAlign w:val="center"/>
          </w:tcPr>
          <w:p>
            <w:pPr>
              <w:keepNext w:val="0"/>
              <w:keepLines/>
              <w:pageBreakBefore w:val="0"/>
              <w:widowControl w:val="1"/>
              <w:spacing w:before="0" w:after="0" w:line="274" w:lineRule="auto"/>
            </w:pPr>
          </w:p>
        </w:tc>
        <w:tc>
          <w:tcPr>
            <w:tcW w:type="dxa" w:w="2489"/>
            <w:tcBorders>
              <w:top w:val="nil"/>
              <w:left w:val="nil"/>
              <w:bottom w:val="single" w:sz="8" w:space="0" w:color="1D6FE0"/>
              <w:right w:val="single" w:sz="16" w:space="0" w:color="FFFFFF"/>
            </w:tcBorders>
            <w:shd w:val="clear" w:color="auto" w:fill="1554AE"/>
            <w:tcMar>
              <w:top w:w="105" w:type="dxa"/>
              <w:left w:w="147" w:type="dxa"/>
              <w:bottom w:w="105" w:type="dxa"/>
              <w:right w:w="147"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Today</w:t>
            </w:r>
          </w:p>
        </w:tc>
        <w:tc>
          <w:tcPr>
            <w:tcW w:type="dxa" w:w="2489"/>
            <w:tcBorders>
              <w:top w:val="nil"/>
              <w:left w:val="nil"/>
              <w:bottom w:val="single" w:sz="8" w:space="0" w:color="1D6FE0"/>
              <w:right w:val="single" w:sz="16" w:space="0" w:color="FFFFFF"/>
            </w:tcBorders>
            <w:shd w:val="clear" w:color="auto" w:fill="1D6FE0"/>
            <w:tcMar>
              <w:top w:w="105" w:type="dxa"/>
              <w:left w:w="147" w:type="dxa"/>
              <w:bottom w:w="105" w:type="dxa"/>
              <w:right w:w="147"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Target</w:t>
            </w:r>
          </w:p>
        </w:tc>
        <w:tc>
          <w:tcPr>
            <w:tcW w:type="dxa" w:w="2489"/>
            <w:tcBorders>
              <w:top w:val="nil"/>
              <w:left w:val="nil"/>
              <w:bottom w:val="single" w:sz="8" w:space="0" w:color="1D6FE0"/>
              <w:right w:val="nil"/>
            </w:tcBorders>
            <w:shd w:val="clear" w:color="auto" w:fill="1554AE"/>
            <w:tcMar>
              <w:top w:w="105" w:type="dxa"/>
              <w:left w:w="147" w:type="dxa"/>
              <w:bottom w:w="105" w:type="dxa"/>
              <w:right w:w="147"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Change</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Facilities</w:t>
            </w:r>
          </w:p>
        </w:tc>
        <w:tc>
          <w:tcPr>
            <w:tcW w:type="dxa" w:w="2489"/>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w:t>
            </w:r>
          </w:p>
        </w:tc>
        <w:tc>
          <w:tcPr>
            <w:tcW w:type="dxa" w:w="2489"/>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w:t>
            </w:r>
          </w:p>
        </w:tc>
        <w:tc>
          <w:tcPr>
            <w:tcW w:type="dxa" w:w="2489"/>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Lenders</w:t>
            </w:r>
          </w:p>
        </w:tc>
        <w:tc>
          <w:tcPr>
            <w:tcW w:type="dxa" w:w="2489"/>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w:t>
            </w:r>
          </w:p>
        </w:tc>
        <w:tc>
          <w:tcPr>
            <w:tcW w:type="dxa" w:w="2489"/>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w:t>
            </w:r>
          </w:p>
        </w:tc>
        <w:tc>
          <w:tcPr>
            <w:tcW w:type="dxa" w:w="2489"/>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Cross-collateralised</w:t>
            </w:r>
          </w:p>
        </w:tc>
        <w:tc>
          <w:tcPr>
            <w:tcW w:type="dxa" w:w="2489"/>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 — all four</w:t>
            </w:r>
          </w:p>
        </w:tc>
        <w:tc>
          <w:tcPr>
            <w:tcW w:type="dxa" w:w="2489"/>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w:t>
            </w:r>
          </w:p>
        </w:tc>
        <w:tc>
          <w:tcPr>
            <w:tcW w:type="dxa" w:w="2489"/>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Removed</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Blended rate</w:t>
            </w:r>
          </w:p>
        </w:tc>
        <w:tc>
          <w:tcPr>
            <w:tcW w:type="dxa" w:w="2489"/>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6.52%</w:t>
            </w:r>
          </w:p>
        </w:tc>
        <w:tc>
          <w:tcPr>
            <w:tcW w:type="dxa" w:w="2489"/>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6.18%</w:t>
            </w:r>
          </w:p>
        </w:tc>
        <w:tc>
          <w:tcPr>
            <w:tcW w:type="dxa" w:w="2489"/>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−0.34%</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Annual interest</w:t>
            </w:r>
          </w:p>
        </w:tc>
        <w:tc>
          <w:tcPr>
            <w:tcW w:type="dxa" w:w="2489"/>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$120,424</w:t>
            </w:r>
          </w:p>
        </w:tc>
        <w:tc>
          <w:tcPr>
            <w:tcW w:type="dxa" w:w="2489"/>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$115,146</w:t>
            </w:r>
          </w:p>
        </w:tc>
        <w:tc>
          <w:tcPr>
            <w:tcW w:type="dxa" w:w="2489"/>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−$5,278</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Usable equity accessible</w:t>
            </w:r>
          </w:p>
        </w:tc>
        <w:tc>
          <w:tcPr>
            <w:tcW w:type="dxa" w:w="2489"/>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$0</w:t>
            </w:r>
          </w:p>
        </w:tc>
        <w:tc>
          <w:tcPr>
            <w:tcW w:type="dxa" w:w="2489"/>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$340,000</w:t>
            </w:r>
          </w:p>
        </w:tc>
        <w:tc>
          <w:tcPr>
            <w:tcW w:type="dxa" w:w="2489"/>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+$340,000</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Portfolio LVR</w:t>
            </w:r>
          </w:p>
        </w:tc>
        <w:tc>
          <w:tcPr>
            <w:tcW w:type="dxa" w:w="2489"/>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63.4%</w:t>
            </w:r>
          </w:p>
        </w:tc>
        <w:tc>
          <w:tcPr>
            <w:tcW w:type="dxa" w:w="2489"/>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69.1%</w:t>
            </w:r>
          </w:p>
        </w:tc>
        <w:tc>
          <w:tcPr>
            <w:tcW w:type="dxa" w:w="2489"/>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+5.7%</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04   Sequencing</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The order matters</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1</w:t>
            </w:r>
          </w:p>
        </w:tc>
        <w:tc>
          <w:tcPr>
            <w:tcW w:type="dxa" w:w="2268"/>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Valuations</w:t>
            </w:r>
          </w:p>
        </w:tc>
        <w:tc>
          <w:tcPr>
            <w:tcW w:type="dxa" w:w="7143"/>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Order upfront valuations on all four assets with Lender B.</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2</w:t>
            </w:r>
          </w:p>
        </w:tc>
        <w:tc>
          <w:tcPr>
            <w:tcW w:type="dxa" w:w="2268"/>
            <w:tcBorders>
              <w:top w:val="single" w:sz="4" w:space="0" w:color="FFFFFF"/>
              <w:left w:val="nil"/>
              <w:bottom w:val="single" w:sz="4" w:space="0" w:color="FFFFFF"/>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Split</w:t>
            </w:r>
          </w:p>
        </w:tc>
        <w:tc>
          <w:tcPr>
            <w:tcW w:type="dxa" w:w="7143"/>
            <w:tcBorders>
              <w:top w:val="single" w:sz="4" w:space="0" w:color="FFFFFF"/>
              <w:left w:val="nil"/>
              <w:bottom w:val="single" w:sz="4" w:space="0" w:color="FFFFFF"/>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Refinance 21 Test Rd and 9 Demo Close to Lender B as standalone facilities.</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3</w:t>
            </w:r>
          </w:p>
        </w:tc>
        <w:tc>
          <w:tcPr>
            <w:tcW w:type="dxa" w:w="2268"/>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Unwind</w:t>
            </w:r>
          </w:p>
        </w:tc>
        <w:tc>
          <w:tcPr>
            <w:tcW w:type="dxa" w:w="7143"/>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Release the remaining two securities from Facility 2 with Lender A.</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4</w:t>
            </w:r>
          </w:p>
        </w:tc>
        <w:tc>
          <w:tcPr>
            <w:tcW w:type="dxa" w:w="2268"/>
            <w:tcBorders>
              <w:top w:val="single" w:sz="4" w:space="0" w:color="FFFFFF"/>
              <w:left w:val="nil"/>
              <w:bottom w:val="single" w:sz="4" w:space="0" w:color="FFFFFF"/>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Restructure</w:t>
            </w:r>
          </w:p>
        </w:tc>
        <w:tc>
          <w:tcPr>
            <w:tcW w:type="dxa" w:w="7143"/>
            <w:tcBorders>
              <w:top w:val="single" w:sz="4" w:space="0" w:color="FFFFFF"/>
              <w:left w:val="nil"/>
              <w:bottom w:val="single" w:sz="4" w:space="0" w:color="FFFFFF"/>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Convert the Lender A exposure into two standalone facilities.</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5</w:t>
            </w:r>
          </w:p>
        </w:tc>
        <w:tc>
          <w:tcPr>
            <w:tcW w:type="dxa" w:w="2268"/>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Release</w:t>
            </w:r>
          </w:p>
        </w:tc>
        <w:tc>
          <w:tcPr>
            <w:tcW w:type="dxa" w:w="7143"/>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Establish the $340,000 equity release facility against 21 Test Rd.</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6</w:t>
            </w:r>
          </w:p>
        </w:tc>
        <w:tc>
          <w:tcPr>
            <w:tcW w:type="dxa" w:w="2268"/>
            <w:tcBorders>
              <w:top w:val="single" w:sz="4" w:space="0" w:color="FFFFFF"/>
              <w:left w:val="nil"/>
              <w:bottom w:val="single" w:sz="4" w:space="0" w:color="FFFFFF"/>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Deploy</w:t>
            </w:r>
          </w:p>
        </w:tc>
        <w:tc>
          <w:tcPr>
            <w:tcW w:type="dxa" w:w="7143"/>
            <w:tcBorders>
              <w:top w:val="single" w:sz="4" w:space="0" w:color="FFFFFF"/>
              <w:left w:val="nil"/>
              <w:bottom w:val="single" w:sz="4" w:space="0" w:color="FFFFFF"/>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Funds available for the next two acquisitions.</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3061" w:hRule="atLeast"/>
        </w:trPr>
        <w:tc>
          <w:tcPr>
            <w:tcW w:type="dxa" w:w="10091"/>
            <w:tcBorders>
              <w:top w:val="single" w:sz="4" w:space="0" w:color="C2CDDC"/>
              <w:left w:val="single" w:sz="4" w:space="0" w:color="C2CDDC"/>
              <w:bottom w:val="single" w:sz="4" w:space="0" w:color="C2CDDC"/>
              <w:right w:val="single" w:sz="4" w:space="0" w:color="C2CDDC"/>
            </w:tcBorders>
            <w:shd w:val="clear" w:color="auto" w:fill="F7F9FC"/>
            <w:tcMar>
              <w:top w:w="150" w:type="dxa"/>
              <w:left w:w="180" w:type="dxa"/>
              <w:bottom w:w="150" w:type="dxa"/>
              <w:right w:w="180" w:type="dxa"/>
            </w:tcMar>
            <w:vAlign w:val="center"/>
          </w:tcPr>
          <w:p>
            <w:pPr>
              <w:keepNext w:val="0"/>
              <w:keepLines/>
              <w:pageBreakBefore w:val="0"/>
              <w:widowControl w:val="1"/>
              <w:spacing w:before="0" w:after="60"/>
              <w:jc w:val="center"/>
            </w:pPr>
            <w:r>
              <w:rPr>
                <w:rFonts w:ascii="Calibri" w:hAnsi="Calibri" w:cs="Calibri" w:eastAsia="Calibri"/>
                <w:b/>
                <w:i w:val="0"/>
                <w:color w:val="0C2340"/>
                <w:sz w:val="18"/>
                <w:u w:val="none"/>
              </w:rPr>
              <w:t>Funding runway</w:t>
            </w:r>
          </w:p>
          <w:p>
            <w:pPr>
              <w:keepNext w:val="0"/>
              <w:keepLines/>
              <w:pageBreakBefore w:val="0"/>
              <w:widowControl w:val="1"/>
              <w:spacing w:before="0" w:after="60"/>
              <w:jc w:val="center"/>
            </w:pPr>
            <w:r>
              <w:rPr>
                <w:rFonts w:ascii="Calibri" w:hAnsi="Calibri" w:cs="Calibri" w:eastAsia="Calibri"/>
                <w:b/>
                <w:i w:val="0"/>
                <w:caps w:val="1"/>
                <w:color w:val="1D6FE0"/>
                <w:spacing w:val="36"/>
                <w:sz w:val="15"/>
                <w:u w:val="none"/>
              </w:rPr>
              <w:t>[  STACKED COLUMN CHART  ]</w:t>
            </w:r>
          </w:p>
          <w:p>
            <w:pPr>
              <w:keepNext w:val="0"/>
              <w:keepLines/>
              <w:pageBreakBefore w:val="0"/>
              <w:widowControl w:val="1"/>
              <w:spacing w:before="0" w:after="0"/>
              <w:jc w:val="center"/>
            </w:pPr>
            <w:r>
              <w:rPr>
                <w:rFonts w:ascii="Calibri" w:hAnsi="Calibri" w:cs="Calibri" w:eastAsia="Calibri"/>
                <w:b w:val="0"/>
                <w:i w:val="0"/>
                <w:color w:val="8493A8"/>
                <w:sz w:val="14"/>
                <w:u w:val="none"/>
              </w:rPr>
              <w:t>{{strategy.runway}}</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Capacity released against planned acquisitions, 24 months   ·   Source: Aurixa funding model   ·   Alt text: Released equity covers both planned deposits with $42,000 headroom</w:t>
      </w:r>
    </w:p>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32"/>
          <w:sz w:val="15"/>
          <w:u w:val="none"/>
        </w:rPr>
        <w:t>Risks and mitigations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and mitigations"/>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1554AE"/>
            <w:tcMar>
              <w:top w:w="105" w:type="dxa"/>
              <w:left w:w="147" w:type="dxa"/>
              <w:bottom w:w="105" w:type="dxa"/>
              <w:right w:w="147"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1554AE"/>
            <w:tcMar>
              <w:top w:w="105" w:type="dxa"/>
              <w:left w:w="147" w:type="dxa"/>
              <w:bottom w:w="105" w:type="dxa"/>
              <w:right w:w="147"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1554AE"/>
            <w:tcMar>
              <w:top w:w="105" w:type="dxa"/>
              <w:left w:w="147" w:type="dxa"/>
              <w:bottom w:w="105" w:type="dxa"/>
              <w:right w:w="147"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Valuations come in below the assumed figures</w:t>
            </w:r>
          </w:p>
        </w:tc>
        <w:tc>
          <w:tcPr>
            <w:tcW w:type="dxa" w:w="1413"/>
            <w:tcBorders>
              <w:top w:val="nil"/>
              <w:left w:val="nil"/>
              <w:bottom w:val="single" w:sz="4" w:space="0" w:color="DCE3ED"/>
              <w:right w:val="nil"/>
            </w:tcBorders>
            <w:shd w:val="clear" w:color="auto" w:fill="FBECEA"/>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The equity release reduces proportionally. Order upfront valuations before committing to the refinance.</w:t>
            </w:r>
          </w:p>
        </w:tc>
      </w:tr>
      <w:tr>
        <w:trPr>
          <w:cantSplit/>
        </w:trPr>
        <w:tc>
          <w:tcPr>
            <w:tcW w:type="dxa" w:w="403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Lender B policy changes during the 14-week sequence</w:t>
            </w:r>
          </w:p>
        </w:tc>
        <w:tc>
          <w:tcPr>
            <w:tcW w:type="dxa" w:w="1413"/>
            <w:tcBorders>
              <w:top w:val="nil"/>
              <w:left w:val="nil"/>
              <w:bottom w:val="single" w:sz="4" w:space="0" w:color="DCE3ED"/>
              <w:right w:val="nil"/>
            </w:tcBorders>
            <w:shd w:val="clear" w:color="auto" w:fill="FBF1E0"/>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Obtain formal approval on all four facilities before discharging anything with Lender A.</w:t>
            </w:r>
          </w:p>
        </w:tc>
      </w:tr>
      <w:tr>
        <w:trPr>
          <w:cantSplit/>
        </w:trPr>
        <w:tc>
          <w:tcPr>
            <w:tcW w:type="dxa" w:w="403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Break costs on the fixed facility expiring 03/2027</w:t>
            </w:r>
          </w:p>
        </w:tc>
        <w:tc>
          <w:tcPr>
            <w:tcW w:type="dxa" w:w="1413"/>
            <w:tcBorders>
              <w:top w:val="nil"/>
              <w:left w:val="nil"/>
              <w:bottom w:val="single" w:sz="4" w:space="0" w:color="DCE3ED"/>
              <w:right w:val="nil"/>
            </w:tcBorders>
            <w:shd w:val="clear" w:color="auto" w:fill="FBF1E0"/>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Break cost is estimated at $4,100. Sequence step 2 after the fixed period expires, or accept the cost against the $5,278 annual saving.</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What we need from you</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nil"/>
              <w:bottom w:val="single" w:sz="4" w:space="0" w:color="DCE3ED"/>
              <w:right w:val="nil"/>
            </w:tcBorders>
            <w:tcMar>
              <w:top w:w="105" w:type="dxa"/>
              <w:left w:w="147" w:type="dxa"/>
              <w:bottom w:w="105" w:type="dxa"/>
              <w:right w:w="147"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Confirm you accept the estimated $4,100 break cost.</w:t>
            </w:r>
          </w:p>
        </w:tc>
      </w:tr>
      <w:tr>
        <w:trPr>
          <w:cantSplit/>
        </w:trPr>
        <w:tc>
          <w:tcPr>
            <w:tcW w:type="dxa" w:w="10091"/>
            <w:tcBorders>
              <w:top w:val="nil"/>
              <w:left w:val="nil"/>
              <w:bottom w:val="single" w:sz="4" w:space="0" w:color="DCE3ED"/>
              <w:right w:val="nil"/>
            </w:tcBorders>
            <w:tcMar>
              <w:top w:w="105" w:type="dxa"/>
              <w:left w:w="147" w:type="dxa"/>
              <w:bottom w:w="105" w:type="dxa"/>
              <w:right w:w="147"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Provide the last two years of tax returns for both applicants.</w:t>
            </w:r>
          </w:p>
        </w:tc>
      </w:tr>
      <w:tr>
        <w:trPr>
          <w:cantSplit/>
        </w:trPr>
        <w:tc>
          <w:tcPr>
            <w:tcW w:type="dxa" w:w="10091"/>
            <w:tcBorders>
              <w:top w:val="nil"/>
              <w:left w:val="nil"/>
              <w:bottom w:val="single" w:sz="4" w:space="0" w:color="DCE3ED"/>
              <w:right w:val="nil"/>
            </w:tcBorders>
            <w:tcMar>
              <w:top w:w="105" w:type="dxa"/>
              <w:left w:w="147" w:type="dxa"/>
              <w:bottom w:w="105" w:type="dxa"/>
              <w:right w:w="147"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Authorise upfront valuations on all four properties.</w:t>
            </w:r>
          </w:p>
        </w:tc>
      </w:tr>
      <w:tr>
        <w:trPr>
          <w:cantSplit/>
        </w:trPr>
        <w:tc>
          <w:tcPr>
            <w:tcW w:type="dxa" w:w="10091"/>
            <w:tcBorders>
              <w:top w:val="nil"/>
              <w:left w:val="nil"/>
              <w:bottom w:val="single" w:sz="4" w:space="0" w:color="DCE3ED"/>
              <w:right w:val="nil"/>
            </w:tcBorders>
            <w:tcMar>
              <w:top w:w="105" w:type="dxa"/>
              <w:left w:w="147" w:type="dxa"/>
              <w:bottom w:w="105" w:type="dxa"/>
              <w:right w:w="147"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Confirm the target acquisition timeline has not changed.</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Important information</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Disclaimer, privacy and terms</w:t>
            </w:r>
          </w:p>
        </w:tc>
      </w:tr>
    </w:tbl>
    <w:p>
      <w:pPr>
        <w:keepNext w:val="0"/>
        <w:keepLines/>
        <w:pageBreakBefore w:val="0"/>
        <w:widowControl w:val="1"/>
        <w:spacing w:before="0" w:after="0" w:line="18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26"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26"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26"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3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32"/>
              <w:sz w:val="14"/>
              <w:u w:val="none"/>
            </w:rPr>
            <w:t>Finance Strategy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26"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Strategy Report</dc:title>
  <dc:subject>The client's whole debt strategy: current structure, target structure, sequencing, and the funding runway for planned acquisitions.</dc:subject>
  <dc:creator>Aurixa Systems</dc:creator>
  <cp:keywords>Finance strategy, Debt structure, Funding plan,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