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C2CDDC"/>
              <w:left w:val="single" w:sz="6" w:space="0" w:color="C2CDDC"/>
              <w:bottom w:val="single" w:sz="6" w:space="0" w:color="C2CDDC"/>
              <w:right w:val="single" w:sz="6" w:space="0" w:color="C2CDDC"/>
            </w:tcBorders>
            <w:shd w:val="clear" w:color="auto" w:fill="EDF1F7"/>
            <w:tcMar>
              <w:top w:w="1250" w:type="dxa"/>
              <w:left w:w="200" w:type="dxa"/>
              <w:bottom w:w="1250" w:type="dxa"/>
              <w:right w:w="20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6"/>
                <w:sz w:val="15"/>
                <w:u w:val="none"/>
              </w:rPr>
              <w:t>[  COVER IMAGE  —  1600 × 900 px minimum  ]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{{opportunity.coverCaption}}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061"/>
      </w:tblGrid>
      <w:tr>
        <w:trPr>
          <w:cantSplit/>
        </w:trPr>
        <w:tc>
          <w:tcPr>
            <w:tcW w:type="dxa" w:w="3061"/>
            <w:tcBorders>
              <w:top w:val="dashed" w:sz="8" w:space="0" w:color="C2CDDC"/>
              <w:left w:val="dashed" w:sz="8" w:space="0" w:color="C2CDDC"/>
              <w:bottom w:val="dashed" w:sz="8" w:space="0" w:color="C2CDDC"/>
              <w:right w:val="dashed" w:sz="8" w:space="0" w:color="C2CDDC"/>
            </w:tcBorders>
            <w:tcMar>
              <w:top w:w="190" w:type="dxa"/>
              <w:left w:w="130" w:type="dxa"/>
              <w:bottom w:w="190" w:type="dxa"/>
              <w:right w:w="13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60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8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60"/>
        <w:jc w:val="center"/>
      </w:pPr>
      <w:r>
        <w:rPr>
          <w:rFonts w:ascii="Calibri" w:hAnsi="Calibri" w:cs="Calibri" w:eastAsia="Calibri"/>
          <w:b/>
          <w:i w:val="0"/>
          <w:caps w:val="1"/>
          <w:color w:val="12B0CE"/>
          <w:spacing w:val="92"/>
          <w:sz w:val="16"/>
          <w:u w:val="none"/>
        </w:rPr>
        <w:t>Private &amp; confidential</w:t>
      </w:r>
    </w:p>
    <w:p>
      <w:pPr>
        <w:keepNext/>
        <w:keepLines/>
        <w:pageBreakBefore w:val="0"/>
        <w:widowControl w:val="1"/>
        <w:spacing w:before="0" w:after="200" w:line="245" w:lineRule="auto"/>
        <w:jc w:val="center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64"/>
          <w:u w:val="none"/>
        </w:rPr>
        <w:t>{{opportunity.title}}</w:t>
      </w:r>
    </w:p>
    <w:p>
      <w:pPr>
        <w:keepNext w:val="0"/>
        <w:keepLines/>
        <w:pageBreakBefore w:val="0"/>
        <w:widowControl w:val="1"/>
        <w:pBdr>
          <w:bottom w:val="single" w:sz="8" w:space="1" w:color="12B0CE"/>
        </w:pBdr>
        <w:spacing w:before="0" w:after="2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60" w:lineRule="auto"/>
        <w:jc w:val="center"/>
      </w:pPr>
      <w:r>
        <w:rPr>
          <w:rFonts w:ascii="Calibri" w:hAnsi="Calibri" w:cs="Calibri" w:eastAsia="Calibri"/>
          <w:b w:val="0"/>
          <w:i w:val="0"/>
          <w:color w:val="4C5B73"/>
          <w:sz w:val="22"/>
          <w:u w:val="none"/>
        </w:rPr>
        <w:t>{{opportunity.subtitle}}</w:t>
      </w:r>
    </w:p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The opportunity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55" w:lineRule="auto"/>
      </w:pPr>
      <w:r>
        <w:rPr>
          <w:rFonts w:ascii="Calibri" w:hAnsi="Calibri" w:cs="Calibri" w:eastAsia="Calibri"/>
          <w:b w:val="0"/>
          <w:i w:val="0"/>
          <w:color w:val="10192A"/>
          <w:sz w:val="20"/>
          <w:u w:val="none"/>
        </w:rPr>
        <w:t>{{opportunity.narrative}}</w:t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cantSplit/>
        </w:trPr>
        <w:tc>
          <w:tcPr>
            <w:tcW w:type="dxa" w:w="2523"/>
            <w:tcBorders>
              <w:right w:val="single" w:sz="24" w:space="0" w:color="FFFFFF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GUIDE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LAND</w:t>
            </w:r>
          </w:p>
        </w:tc>
        <w:tc>
          <w:tcPr>
            <w:tcW w:type="dxa" w:w="2523"/>
            <w:tcBorders>
              <w:right w:val="single" w:sz="24" w:space="0" w:color="FFFFFF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ACCOMMODATION</w:t>
            </w:r>
          </w:p>
        </w:tc>
        <w:tc>
          <w:tcPr>
            <w:tcW w:type="dxa" w:w="2523"/>
            <w:tcBorders>
              <w:right w:val="nil"/>
            </w:tcBorders>
            <w:shd w:val="clear" w:color="auto" w:fill="071527"/>
            <w:tcMar>
              <w:top w:w="80" w:type="dxa"/>
              <w:left w:w="120" w:type="dxa"/>
              <w:bottom w:w="60" w:type="dxa"/>
              <w:right w:w="12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4"/>
                <w:u w:val="none"/>
              </w:rPr>
              <w:t>AVAILABILITY</w:t>
            </w:r>
          </w:p>
        </w:tc>
      </w:tr>
      <w:tr>
        <w:trPr>
          <w:cantSplit/>
        </w:trPr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{{opportunity.guide}}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Private treaty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{{property.landArea}}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High side, north-east</w:t>
            </w:r>
          </w:p>
        </w:tc>
        <w:tc>
          <w:tcPr>
            <w:tcW w:type="dxa" w:w="2523"/>
            <w:tcBorders>
              <w:bottom w:val="single" w:sz="8" w:space="0" w:color="12B0CE"/>
              <w:right w:val="single" w:sz="24" w:space="0" w:color="FFFFFF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{{property.accommodation}}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Bed · bath · car</w:t>
            </w:r>
          </w:p>
        </w:tc>
        <w:tc>
          <w:tcPr>
            <w:tcW w:type="dxa" w:w="2523"/>
            <w:tcBorders>
              <w:bottom w:val="single" w:sz="8" w:space="0" w:color="12B0CE"/>
              <w:right w:val="nil"/>
            </w:tcBorders>
            <w:shd w:val="clear" w:color="auto" w:fill="EEFAFC"/>
            <w:tcMar>
              <w:top w:w="110" w:type="dxa"/>
              <w:left w:w="120" w:type="dxa"/>
              <w:bottom w:w="110" w:type="dxa"/>
              <w:right w:w="12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52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32"/>
                <w:u w:val="none"/>
              </w:rPr>
              <w:t>{{opportunity.availability}}</w:t>
            </w:r>
          </w:p>
          <w:p>
            <w:pPr>
              <w:keepNext w:val="0"/>
              <w:keepLines/>
              <w:pageBreakBefore w:val="0"/>
              <w:widowControl w:val="1"/>
              <w:spacing w:before="4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Private window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The property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961"/>
        <w:gridCol w:w="170"/>
        <w:gridCol w:w="4961"/>
      </w:tblGrid>
      <w:tr>
        <w:trPr>
          <w:cantSplit/>
          <w:trHeight w:val="2948" w:hRule="atLeast"/>
        </w:trPr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1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{{property.images.0.caption}}</w:t>
            </w:r>
          </w:p>
        </w:tc>
        <w:tc>
          <w:tcPr>
            <w:tcW w:type="dxa" w:w="170"/>
          </w:tcPr>
          <w:p/>
        </w:tc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2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{{property.images.1.caption}}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961"/>
        <w:gridCol w:w="170"/>
        <w:gridCol w:w="4961"/>
      </w:tblGrid>
      <w:tr>
        <w:trPr>
          <w:cantSplit/>
          <w:trHeight w:val="2948" w:hRule="atLeast"/>
        </w:trPr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3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{{property.images.2.caption}}</w:t>
            </w:r>
          </w:p>
        </w:tc>
        <w:tc>
          <w:tcPr>
            <w:tcW w:type="dxa" w:w="170"/>
          </w:tcPr>
          <w:p/>
        </w:tc>
        <w:tc>
          <w:tcPr>
            <w:tcW w:type="dxa" w:w="496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8"/>
                <w:sz w:val="14"/>
                <w:u w:val="none"/>
              </w:rPr>
              <w:t>[  IMAGE 4  ]</w:t>
            </w:r>
          </w:p>
          <w:p>
            <w:pPr>
              <w:keepNext w:val="0"/>
              <w:keepLines/>
              <w:pageBreakBefore w:val="0"/>
              <w:widowControl w:val="1"/>
              <w:spacing w:before="6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{{property.images.3.caption}}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  <w:trHeight w:val="3628" w:hRule="atLeast"/>
        </w:trPr>
        <w:tc>
          <w:tcPr>
            <w:tcW w:type="dxa" w:w="10091"/>
            <w:shd w:val="clear" w:color="auto" w:fill="EDF1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2"/>
                <w:sz w:val="15"/>
                <w:u w:val="none"/>
              </w:rPr>
              <w:t>[  POSITION MAP  ]</w:t>
            </w:r>
          </w:p>
        </w:tc>
      </w:tr>
    </w:tbl>
    <w:p>
      <w:pPr>
        <w:keepNext w:val="0"/>
        <w:keepLines/>
        <w:pageBreakBefore w:val="0"/>
        <w:widowControl w:val="1"/>
        <w:spacing w:before="60" w:after="0" w:line="293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Alt text: Map showing the property's position within the precinct</w:t>
      </w:r>
    </w:p>
    <w:p>
      <w:pPr>
        <w:keepNext w:val="0"/>
        <w:keepLines/>
        <w:pageBreakBefore w:val="0"/>
        <w:widowControl w:val="1"/>
        <w:spacing w:before="0" w:after="0" w:line="6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0C2340"/>
                <w:sz w:val="17"/>
                <w:u w:val="none"/>
              </w:rPr>
              <w:t xml:space="preserve">●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The property</w:t>
            </w:r>
          </w:p>
        </w:tc>
        <w:tc>
          <w:tcPr>
            <w:tcW w:type="dxa" w:w="3364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D6FE0"/>
                <w:sz w:val="17"/>
                <w:u w:val="none"/>
              </w:rPr>
              <w:t xml:space="preserve">▲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Ferry</w:t>
            </w:r>
          </w:p>
        </w:tc>
        <w:tc>
          <w:tcPr>
            <w:tcW w:type="dxa" w:w="3364"/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■  </w:t>
            </w: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4"/>
                <w:u w:val="none"/>
              </w:rPr>
              <w:t>Village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Terms &amp; process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4C5B73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52"/>
                <w:sz w:val="15"/>
                <w:u w:val="none"/>
              </w:rPr>
              <w:t>Confidentiality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{{opportunity.confidentiality}}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rPr>
          <w:cantSplit/>
        </w:trPr>
        <w:tc>
          <w:tcPr>
            <w:tcW w:type="dxa" w:w="170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400" w:type="dxa"/>
              <w:left w:w="90" w:type="dxa"/>
              <w:bottom w:w="400" w:type="dxa"/>
              <w:right w:w="9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4"/>
                <w:sz w:val="14"/>
                <w:u w:val="none"/>
              </w:rPr>
              <w:t>PHOTO</w:t>
            </w:r>
          </w:p>
        </w:tc>
        <w:tc>
          <w:tcPr>
            <w:tcW w:type="dxa" w:w="8391"/>
            <w:tcBorders>
              <w:top w:val="single" w:sz="4" w:space="0" w:color="DCE3ED"/>
              <w:left w:val="nil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5"/>
                <w:u w:val="none"/>
              </w:rPr>
              <w:t>Your adviser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21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{{author.title}}   ›   {{author.credentials}}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{{author.bio}}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{{author.credentialList[0]}}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{{author.credentialList[1]}}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{{author.credentialList[2]}}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{{author.email}}   ·   {{author.phone}}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/>
      </w:pPr>
      <w:r>
        <w:br w:type="page"/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071527"/>
              <w:left w:val="single" w:sz="4" w:space="0" w:color="071527"/>
              <w:bottom w:val="single" w:sz="4" w:space="0" w:color="071527"/>
              <w:right w:val="single" w:sz="4" w:space="0" w:color="071527"/>
            </w:tcBorders>
            <w:shd w:val="clear" w:color="auto" w:fill="071527"/>
            <w:tcMar>
              <w:top w:w="320" w:type="dxa"/>
              <w:left w:w="260" w:type="dxa"/>
              <w:bottom w:w="320" w:type="dxa"/>
              <w:right w:w="260" w:type="dxa"/>
            </w:tcMar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061"/>
            </w:tblGrid>
            <w:tr>
              <w:trPr>
                <w:cantSplit/>
              </w:trPr>
              <w:tc>
                <w:tcPr>
                  <w:tcW w:type="dxa" w:w="3061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6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</w:pPr>
            <w:r>
              <w:rPr>
                <w:rFonts w:ascii="Georgia" w:hAnsi="Georgia" w:cs="Georgia" w:eastAsia="Georgia"/>
                <w:b/>
                <w:i w:val="0"/>
                <w:color w:val="FFFFFF"/>
                <w:sz w:val="34"/>
                <w:u w:val="none"/>
              </w:rPr>
              <w:t>Aurixa Systems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64"/>
                <w:sz w:val="15"/>
                <w:u w:val="none"/>
              </w:rPr>
              <w:t>INTELLIGENT PROPERTY &amp; FINANCE INFRASTRUCTURE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WEB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{{org.website}}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EMAIL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{{org.email}}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PHONE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{{org.phone}}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ADDRESS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{{org.address}}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SOCIAL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{{org.socials}}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AFC0D6"/>
                <w:spacing w:val="32"/>
                <w:sz w:val="14"/>
                <w:u w:val="none"/>
              </w:rPr>
              <w:t>Aurixa Systems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  <w:jc w:val="center"/>
      </w:pP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>Aurixa Systems Pty Ltd   ·   ABN {{org.abn}}   ·   COMMERCIAL IN CONFIDENCE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5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5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5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52"/>
              <w:sz w:val="14"/>
              <w:u w:val="none"/>
            </w:rPr>
            <w:t>Off-Market Opportunity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55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Off-Market Opportunity Report</dc:title>
  <dc:subject>An editorial presentation of a single off-market or pre-market opportunity for a high-value client, built to persuade as much as to inform.</dc:subject>
  <dc:creator>Aurixa Systems</dc:creator>
  <cp:keywords>Off-market opportunity, Prestige property, Private opportunity, Property &amp; Buyer's Agency,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