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North-east aspect across the harbour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</w:tblGrid>
      <w:tr>
        <w:trPr>
          <w:cantSplit/>
        </w:trPr>
        <w:tc>
          <w:tcPr>
            <w:tcW w:type="dxa" w:w="3061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Private &amp; confidential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A Harbourside Residence, Off Market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An opportunity offered privately, ahead of any public campaign.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opportunity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The property has been held by one family since 1974. It has not been offered publicly, and the owners have asked that it not be. We have been given a four-week window to introduce it to a small number of qualified buyers before any decision is made about a campaign.</w:t>
      </w:r>
    </w:p>
    <w:p>
      <w:pPr>
        <w:keepNext w:val="0"/>
        <w:keepLines/>
        <w:pageBreakBefore w:val="0"/>
        <w:widowControl w:val="1"/>
        <w:spacing w:before="10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It occupies 1,140 square metres on the high side of a cul-de-sac, with a north-east aspect and unimpeded water views from the principal living level. The house is substantial and original. It is habitable as it stands and will reward either a considered restoration or a replacement dwelling, subject to the usual approvals.</w:t>
      </w:r>
    </w:p>
    <w:p>
      <w:pPr>
        <w:keepNext w:val="0"/>
        <w:keepLines/>
        <w:pageBreakBefore w:val="0"/>
        <w:widowControl w:val="1"/>
        <w:spacing w:before="10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Opportunities of this kind on this street reach the open market perhaps once in a decade. We are able to arrange an inspection at short notice.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GUIDE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ACCOMMODATION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$6.4m – $6.9m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treaty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1,140 m²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 side, north-east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5 · 3 · 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Bed · bath · car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4 weeks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window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property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Principal living level, north-east aspect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Terrace and gardens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Original kitchen and family room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Street approach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628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POSITION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property's position within the precinct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The property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Ferry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Village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Terms &amp; process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Register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Confirm interest and complete the confidentiality undertaking.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Inspect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Private inspection by appointment, weekdays only.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Offer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Written offer with evidence of funds and settlement terms.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Decide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owners will consider offers at the close of the window.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52"/>
                <w:sz w:val="15"/>
                <w:u w:val="none"/>
              </w:rPr>
              <w:t>Confidentiality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document is provided in confidence to a named recipient. It may not be forwarded, reproduced, published or discussed with any third party, including other agents, without our written consent. The owners have not authorised a public campaign and the property is not currently for sale on the open market.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A. Nguyen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Senior Adviser   ›   Licensed 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Handles private and pre-market transactions across the eastern harbour precincts.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Licensed real estate agent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Twenty-two years in prestige transactions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a.nguyen@example.com.au   ·   (02) 8000 1234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www.example.com.au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hello@example.com.au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(02) 8000 1234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Level 4, 100 Sample Street, Sydney NSW 2000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linkedin.com/company/example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Example Advisory Pty Ltd   ·   ABN 12 600 123 456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Off-Market Opportunity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Off-Market Opportunity Report</dc:title>
  <dc:subject>An editorial presentation of a single off-market or pre-market opportunity for a high-value client, built to persuade as much as to inform.</dc:subject>
  <dc:creator>Aurixa Systems</dc:creator>
  <cp:keywords>Off-market opportunity, Prestige property, Private opportunity,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