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audit — for the audit committee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Audit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Client onboarding and customer due diligence — FY2026 internal audit, objective, scope, findings, opinion and management response.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 AUDIT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Opinion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Objective &amp; scope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Methodology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Detailed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Management response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Follow-up of prior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B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Criteria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Opinion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audit opinion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OPINION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PARTIALLY EFFECTIVE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Partially effective. The control environment for client onboarding and customer due diligence operates as designed in most respects, but two controls did not operate effectively throughout the period.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The design of the control environment is sound and maps completely to the obligations in the AML/CTF programme. The exceptions are operational: beneficial-ownership verification was not evidenced for 6 of 48 sampled non-individual customers, and enhanced due diligence was not applied to 2 of 7 customers rated medium or above.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Neither exception resulted in a customer being onboarded who should have been declined, on the evidence available. Both represent a failure to evidence, and in the second case a failure to apply, a control the programme requires.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Management response is recorded at section six and is accepted.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Both high findings are due for remediation by 31 October 2026.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A follow-up audit is recommended in Q3 FY2027.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Objective &amp; scope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audited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Objective and scope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To assess whether controls over client onboarding and customer due diligence were designed appropriately and operated effectively during the period.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included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Identity verification, beneficial ownership, screening, risk rating, enhanced due diligence, ongoing monitoring, record retention.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excluded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Transaction monitoring, suspicious matter reporting, and the AML/CTF programme's design, each audited separately.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Period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 July 2025 to 30 June 2026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organisation's AML/CTF programme, its onboarding procedure, and applicable legislation. Full criteria at appendix B.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Methodology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the audit was conducted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The audit combined control design assessment with operating-effectiveness testing. Design was assessed by walkthrough of each control with its owner and by tracing one transaction end to end. Operating effectiveness was tested by re-performance on a stratified sample.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The population comprised 612 customers onboarded during the period, of which 94 were non-individual. The sample of 96 was stratified to over-weight non-individual customers (48 of 94) and customers rated medium or above (7 of 7), because those populations carry the higher inherent risk and the smaller counts.</w:t>
      </w:r>
    </w:p>
    <w:p>
      <w:pPr>
        <w:keepNext w:val="0"/>
        <w:keepLines/>
        <w:pageBreakBefore w:val="0"/>
        <w:widowControl w:val="1"/>
        <w:spacing w:before="10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Sample sizes give 95% confidence of detecting a 5% exception rate in the individual-customer population. They are not sufficient to quantify an exception rate below 3% in any stratum.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Summary of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CONTROLS TESTED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31/10/2026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31/01/2027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30/04/2027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effective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Detailed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Criteria, condition, cause, effect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Finding 1 — Beneficial ownership not evidenced (High)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programme requires beneficial owners at or above 25% to be identified and verified for every non-individual customer.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6 of 48 sampled non-individual customers had no evidence of beneficial-ownership verification on file.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onboarding workflow permits submission without the beneficial ownership step being completed, and no downstream control detects the omission.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organisation cannot demonstrate that it identified the beneficial owners of those six customers.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Make the beneficial-ownership step mandatory in the workflow and add an exception report for files where it is absent.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Finding 2 — Enhanced due diligence not applied (High)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programme requires enhanced due diligence for every customer rated medium or above.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2 of 7 customers rated medium or above had no EDD measures recorded.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risk rating is calculated after the onboarding decision is recorded, so the EDD prompt is never raised for customers rated at the final step.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Two customers were onboarded without the additional measures the programme requires for their rating.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Calculate the risk rating before the onboarding decision and block the decision until EDD is recorded where the rating requires it.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Management response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Per finding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Management response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anagement response"/>
        <w:tblDescription w:val="Columns: Ref, Finding, Agreed, Owner, Target date, Status"/>
      </w:tblPr>
      <w:tblGrid>
        <w:gridCol w:w="741"/>
        <w:gridCol w:w="3518"/>
        <w:gridCol w:w="1389"/>
        <w:gridCol w:w="1852"/>
        <w:gridCol w:w="1389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 date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 not evidenced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Operations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31/10/2026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due diligence not applied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31/10/2026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evidence not date-stamped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rationale not recorded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Retention schedule not applied to screening reports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Operations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identity documents expired at verification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30/04/2027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Onboarding procedure not version controlled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Agreed in part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30/04/2027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!  Review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Finding 7 is agreed in part: management accepts the finding but proposes a different remediation. The audit function accepts the alternative.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Follow-up of prior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FY2025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Target, Position, Status"/>
      </w:tblPr>
      <w:tblGrid>
        <w:gridCol w:w="1199"/>
        <w:gridCol w:w="3097"/>
        <w:gridCol w:w="1399"/>
        <w:gridCol w:w="3097"/>
        <w:gridCol w:w="1299"/>
      </w:tblGrid>
      <w:tr>
        <w:trPr>
          <w:cantSplit/>
          <w:tblHeader/>
        </w:trPr>
        <w:tc>
          <w:tcPr>
            <w:tcW w:type="dxa" w:w="11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FY25-1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Identity documents not certified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31/12/2025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implemented; no exceptions this period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FY25-2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not performed on beneficial owners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31/12/2025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implemented and effective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FY25-3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Retention period not documented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30/06/2026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Schedule documented; application incomplete — see finding 5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Audit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Auditor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Internal Audit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Internal Audit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Accepted by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Audit Committee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testing results by control.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Control, Population, Sampled, Exceptions, Conclusion"/>
      </w:tblPr>
      <w:tblGrid>
        <w:gridCol w:w="3515"/>
        <w:gridCol w:w="1587"/>
        <w:gridCol w:w="1474"/>
        <w:gridCol w:w="1587"/>
        <w:gridCol w:w="1928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92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Conclusion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Identity verification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48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performed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Screening evidence dated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applied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rating rationale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11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due diligence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7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Not effective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Record retention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612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96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Partially effective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B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Criteria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The standards and obligations against which the audit was conducted.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Criterion, Source"/>
      </w:tblPr>
      <w:tblGrid>
        <w:gridCol w:w="1134"/>
        <w:gridCol w:w="4989"/>
        <w:gridCol w:w="3969"/>
      </w:tblGrid>
      <w:tr>
        <w:trPr>
          <w:cantSplit/>
          <w:trHeight w:val="420" w:hRule="atLeast"/>
          <w:tblHeader/>
        </w:trPr>
        <w:tc>
          <w:tcPr>
            <w:tcW w:type="dxa" w:w="113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B.1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Customer identification procedures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B.2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Beneficial ownership identification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B.3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Politically exposed person screening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B.4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Risk-based approach and customer rating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B.5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Enhanced customer due diligence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A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B.6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Record keeping and retention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AML/CTF programme, Part B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Audit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Report</dc:title>
  <dc:subject>Formal audit output: objective, scope, criteria, methodology, findings with evidence, opinion and management response.</dc:subject>
  <dc:creator>Aurixa Systems</dc:creator>
  <cp:keywords>Audit, Internal audit, Assurance,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